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outlineLvl w:val="0"/>
        <w:rPr>
          <w:rFonts w:ascii="Times New Roman"/>
          <w:color w:val="000000"/>
        </w:rPr>
      </w:pPr>
      <w:bookmarkStart w:id="0" w:name="_Toc8484"/>
      <w:r>
        <w:rPr>
          <w:rFonts w:hint="eastAsia" w:ascii="Times New Roman"/>
          <w:color w:val="000000"/>
        </w:rPr>
        <w:t>金融工程</w:t>
      </w:r>
      <w:r>
        <w:rPr>
          <w:rFonts w:ascii="Times New Roman"/>
          <w:color w:val="000000"/>
        </w:rPr>
        <w:t>专业培养方案</w:t>
      </w:r>
      <w:bookmarkEnd w:id="0"/>
    </w:p>
    <w:p>
      <w:pPr>
        <w:spacing w:before="156" w:beforeLines="50" w:after="156" w:afterLines="50"/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/>
          <w:b/>
          <w:color w:val="000000"/>
          <w:sz w:val="32"/>
          <w:szCs w:val="32"/>
        </w:rPr>
        <w:t>Financial Engineering</w:t>
      </w:r>
    </w:p>
    <w:p>
      <w:pPr>
        <w:spacing w:line="360" w:lineRule="exact"/>
        <w:ind w:firstLine="3360" w:firstLineChars="14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专业代码：020302</w:t>
      </w:r>
    </w:p>
    <w:p>
      <w:pPr>
        <w:spacing w:line="360" w:lineRule="exact"/>
        <w:ind w:firstLine="3360" w:firstLineChars="14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执 笔 人：</w:t>
      </w:r>
      <w:r>
        <w:rPr>
          <w:rFonts w:hint="eastAsia" w:eastAsia="仿宋_GB2312"/>
          <w:color w:val="000000"/>
          <w:sz w:val="24"/>
        </w:rPr>
        <w:t>潘竟成</w:t>
      </w:r>
    </w:p>
    <w:p>
      <w:pPr>
        <w:spacing w:line="360" w:lineRule="exact"/>
        <w:ind w:firstLine="3360" w:firstLineChars="14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审 核 人：</w:t>
      </w:r>
      <w:r>
        <w:rPr>
          <w:rFonts w:hint="eastAsia" w:eastAsia="仿宋_GB2312"/>
          <w:color w:val="000000"/>
          <w:sz w:val="24"/>
        </w:rPr>
        <w:t>张志彬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一、</w:t>
      </w:r>
      <w:r>
        <w:rPr>
          <w:rFonts w:hint="eastAsia" w:eastAsia="黑体"/>
          <w:color w:val="000000"/>
          <w:sz w:val="24"/>
        </w:rPr>
        <w:t>专业简介</w:t>
      </w:r>
    </w:p>
    <w:p>
      <w:pPr>
        <w:pStyle w:val="4"/>
        <w:spacing w:line="360" w:lineRule="exact"/>
        <w:ind w:firstLine="420" w:firstLineChars="200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  <w:r>
        <w:rPr>
          <w:rFonts w:hint="eastAsia" w:ascii="Times New Roman" w:hAnsi="Times New Roman" w:cs="Times New Roman"/>
          <w:color w:val="000000"/>
          <w:kern w:val="0"/>
          <w:szCs w:val="24"/>
          <w:lang w:bidi="ar-SA"/>
        </w:rPr>
        <w:t>本专业依托金融专业硕士点和应用经济学一级学科硕士点、博士点办学，培养具有现代金融学理论基础，系统地掌握金融模型、机器学习、大数据等技术和方法，能够设计、开发、综合运用各种金融工具和解决金融实务问题的创新应用型人才。本专业拥有一批国家级和省部级学科平台与领军人才，拥有中央与地方共建“经济管理综合实验与模拟训练中心”、湖南创新发展研究院等8个国家和省级教学科研平台，拥有教育部新世纪优秀人才、全国万人优秀创业导师等，教学、科研成果丰硕</w:t>
      </w:r>
      <w:r>
        <w:rPr>
          <w:rFonts w:ascii="Times New Roman" w:hAnsi="Times New Roman" w:cs="Times New Roman"/>
          <w:color w:val="000000"/>
          <w:kern w:val="0"/>
          <w:szCs w:val="24"/>
          <w:lang w:bidi="ar-SA"/>
        </w:rPr>
        <w:t>。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二</w:t>
      </w:r>
      <w:r>
        <w:rPr>
          <w:rFonts w:eastAsia="黑体"/>
          <w:color w:val="000000"/>
          <w:sz w:val="24"/>
        </w:rPr>
        <w:t>、培养目标</w:t>
      </w:r>
    </w:p>
    <w:p>
      <w:pPr>
        <w:pStyle w:val="4"/>
        <w:spacing w:line="360" w:lineRule="exact"/>
        <w:ind w:firstLine="420" w:firstLineChars="20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本专业坚持立德树人，德育优先，培养德、智、体、美、劳全面发展</w:t>
      </w:r>
      <w:r>
        <w:rPr>
          <w:rFonts w:hint="eastAsia" w:ascii="Times New Roman" w:hAnsi="Times New Roman" w:cs="Times New Roman"/>
          <w:color w:val="000000"/>
          <w:kern w:val="0"/>
          <w:szCs w:val="24"/>
          <w:lang w:bidi="ar-SA"/>
        </w:rPr>
        <w:t>，掌握经济学、金融学、投资学基础知识，掌握金融工程的基本理论、基本方法、基本技能，具备具有较强的实践创新和应用能力，能够开发、设计、组合新的金融工具和交易手段，能够熟练使用一门外国语言，具有较强组织协作能力和开拓创新精神，具有较好实践能力和创新精神的应用型金融工程人才，能够在银行、证券、保险、信托等金融机构或其他各类经济管理部门从事金融产品设计与定价、金融风险管理、</w:t>
      </w:r>
      <w:r>
        <w:rPr>
          <w:rFonts w:hint="eastAsia" w:ascii="Times New Roman" w:hAnsi="Times New Roman" w:cs="Times New Roman"/>
          <w:color w:val="000000"/>
          <w:kern w:val="0"/>
          <w:szCs w:val="24"/>
          <w:lang w:val="en-US" w:bidi="ar-SA"/>
        </w:rPr>
        <w:t>量化投资与金融数据分析</w:t>
      </w:r>
      <w:r>
        <w:rPr>
          <w:rFonts w:hint="eastAsia" w:ascii="Times New Roman" w:hAnsi="Times New Roman" w:cs="Times New Roman"/>
          <w:color w:val="000000"/>
          <w:kern w:val="0"/>
          <w:szCs w:val="24"/>
          <w:lang w:bidi="ar-SA"/>
        </w:rPr>
        <w:t>、公司理财等工作的创新应用型人才。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三</w:t>
      </w:r>
      <w:r>
        <w:rPr>
          <w:rFonts w:eastAsia="黑体"/>
          <w:color w:val="000000"/>
          <w:sz w:val="24"/>
        </w:rPr>
        <w:t>、培养</w:t>
      </w:r>
      <w:r>
        <w:rPr>
          <w:rFonts w:hint="eastAsia" w:eastAsia="黑体"/>
          <w:color w:val="000000"/>
          <w:sz w:val="24"/>
        </w:rPr>
        <w:t>要求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毕业生应获得以下几方面的知识、能力和素质：</w:t>
      </w:r>
    </w:p>
    <w:p>
      <w:pPr>
        <w:spacing w:line="360" w:lineRule="atLeast"/>
        <w:ind w:firstLine="422" w:firstLineChars="200"/>
        <w:rPr>
          <w:b/>
          <w:color w:val="000000"/>
          <w:kern w:val="0"/>
          <w:lang w:val="zh-CN"/>
        </w:rPr>
      </w:pPr>
      <w:r>
        <w:rPr>
          <w:b/>
          <w:color w:val="000000"/>
          <w:kern w:val="0"/>
          <w:lang w:val="zh-CN"/>
        </w:rPr>
        <w:t>A</w:t>
      </w:r>
      <w:r>
        <w:rPr>
          <w:rFonts w:hint="eastAsia"/>
          <w:b/>
          <w:color w:val="000000"/>
          <w:kern w:val="0"/>
          <w:lang w:val="zh-CN"/>
        </w:rPr>
        <w:t>、知识要求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A1 牢固掌握本专业基础知识、基本理论与基本技能。既掌握经济学的基本原理，也充分了解金融理论的前沿和实际发展现状，熟悉金融活动的基本流程。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A</w:t>
      </w:r>
      <w:r>
        <w:rPr>
          <w:rFonts w:hint="eastAsia"/>
          <w:color w:val="000000"/>
          <w:kern w:val="0"/>
          <w:lang w:val="zh-CN"/>
        </w:rPr>
        <w:t>2 了解从事国内外金融活动的法律法规和惯例，掌握国内外经济与金融活动的基本流程，熟悉金融工程的业务内容，掌握发现实际金融问题和解决实际金融问题的基本技能。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A</w:t>
      </w:r>
      <w:r>
        <w:rPr>
          <w:rFonts w:hint="eastAsia"/>
          <w:color w:val="000000"/>
          <w:kern w:val="0"/>
          <w:lang w:val="zh-CN"/>
        </w:rPr>
        <w:t>3 注重与信息技术、管理、工程学等其他学科或专业的交叉，具有较强的金融分析能力、策划能力、金融创新能力和实践应用能力。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A</w:t>
      </w:r>
      <w:r>
        <w:rPr>
          <w:rFonts w:hint="eastAsia"/>
          <w:color w:val="000000"/>
          <w:kern w:val="0"/>
          <w:lang w:val="zh-CN"/>
        </w:rPr>
        <w:t>4 掌握定性分析与定量分析相结合的科学研究方法与技能，具有扎实的数学、计量经济学基础，掌握基本的数学建模技巧和进行金融市场实证研究的知识。</w:t>
      </w:r>
    </w:p>
    <w:p>
      <w:pPr>
        <w:spacing w:line="360" w:lineRule="atLeast"/>
        <w:ind w:firstLine="422" w:firstLineChars="200"/>
        <w:rPr>
          <w:b/>
          <w:color w:val="000000"/>
          <w:kern w:val="0"/>
          <w:lang w:val="zh-CN"/>
        </w:rPr>
      </w:pPr>
      <w:r>
        <w:rPr>
          <w:rFonts w:hint="eastAsia"/>
          <w:b/>
          <w:color w:val="000000"/>
          <w:kern w:val="0"/>
          <w:lang w:val="zh-CN"/>
        </w:rPr>
        <w:t>B、能力要求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B1熟练掌握一门外语，具备良强的外语阅读、听、说、读、写、译能力；熟练使用计算机；熟练运用现代信息管理技术进行专业文献检索、数据处理、模型设计等；熟练使用专业数据库进行专业论文以及研究报告撰写等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B2 具有良好的中文写作能力。具有一定的口语和书面表达能力、沟通交流能力、组织协调能力、团队合作能力，以及适应金融市场变化所需的其他能力。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B3 能够掌握有效的学习方法，主动接受终身教育。能够应用现代科技手段进行自主学习。适应金融理论和实践快速发展的客观情况，与时俱进。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B4 具备洞察问题、提炼问题、创新思维、综合运用本专业的基础理论和专业知识分析和解决问题的能力。</w:t>
      </w:r>
    </w:p>
    <w:p>
      <w:pPr>
        <w:spacing w:line="360" w:lineRule="atLeast"/>
        <w:ind w:firstLine="422" w:firstLineChars="200"/>
        <w:rPr>
          <w:b/>
          <w:color w:val="000000"/>
          <w:kern w:val="0"/>
          <w:lang w:val="zh-CN"/>
        </w:rPr>
      </w:pPr>
      <w:r>
        <w:rPr>
          <w:b/>
          <w:color w:val="000000"/>
          <w:kern w:val="0"/>
          <w:lang w:val="zh-CN"/>
        </w:rPr>
        <w:t>C</w:t>
      </w:r>
      <w:r>
        <w:rPr>
          <w:rFonts w:hint="eastAsia"/>
          <w:b/>
          <w:color w:val="000000"/>
          <w:kern w:val="0"/>
          <w:lang w:val="zh-CN"/>
        </w:rPr>
        <w:t>、素质要求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C</w:t>
      </w:r>
      <w:r>
        <w:rPr>
          <w:rFonts w:hint="eastAsia"/>
          <w:color w:val="000000"/>
          <w:kern w:val="0"/>
          <w:lang w:val="zh-CN"/>
        </w:rPr>
        <w:t>1 热爱祖国，维护社会主义制度；遵纪守法，具备健全的人格、良好的心理素质与合作精神；具备创新精神、创业意识和创新创业能力。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C</w:t>
      </w:r>
      <w:r>
        <w:rPr>
          <w:rFonts w:hint="eastAsia"/>
          <w:color w:val="000000"/>
          <w:kern w:val="0"/>
          <w:lang w:val="zh-CN"/>
        </w:rPr>
        <w:t>2 努力学习马克思主义、毛泽东思想和中国特色社会主义理论体系，确立在中国共产党领导下走中国特色社会主义道路、努力实现国家繁荣昌盛的共同理想和坚定信念。遵守宪法、法律和法规，遵守公民道德规范。遵守《高等学校学生行为准则》，遵守学校管理制度。具有良好的道德品质和文明习惯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C</w:t>
      </w:r>
      <w:r>
        <w:rPr>
          <w:rFonts w:hint="eastAsia"/>
          <w:color w:val="000000"/>
          <w:kern w:val="0"/>
          <w:lang w:val="zh-CN"/>
        </w:rPr>
        <w:t>3 倡导社会主义核心价值观，树立诚信意识，履约践诺，知行合一。具有良好的职业操守和职业道德，具备社会责任感和人文关怀意识。响应国家和社会期待，秉承德智体全面发展的教育理念和“唯实惟新、至诚致志”的校训精神，品德优良、知识丰富、能力突出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C</w:t>
      </w:r>
      <w:r>
        <w:rPr>
          <w:rFonts w:hint="eastAsia"/>
          <w:color w:val="000000"/>
          <w:kern w:val="0"/>
          <w:lang w:val="zh-CN"/>
        </w:rPr>
        <w:t>4 具有人文情怀和全球视野，具备较高的社会公民责任感、企业家精神、客户服务理念。</w:t>
      </w:r>
    </w:p>
    <w:p>
      <w:pPr>
        <w:spacing w:before="312" w:beforeLines="100"/>
        <w:rPr>
          <w:rFonts w:eastAsia="黑体"/>
          <w:caps/>
          <w:color w:val="000000"/>
          <w:sz w:val="24"/>
        </w:rPr>
      </w:pPr>
      <w:r>
        <w:rPr>
          <w:rFonts w:hint="eastAsia" w:eastAsia="黑体"/>
          <w:caps/>
          <w:color w:val="000000"/>
          <w:sz w:val="24"/>
        </w:rPr>
        <w:t>四</w:t>
      </w:r>
      <w:r>
        <w:rPr>
          <w:rFonts w:eastAsia="黑体"/>
          <w:caps/>
          <w:color w:val="000000"/>
          <w:sz w:val="24"/>
        </w:rPr>
        <w:t>、主干学科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经济学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五</w:t>
      </w:r>
      <w:r>
        <w:rPr>
          <w:rFonts w:eastAsia="黑体"/>
          <w:color w:val="000000"/>
          <w:sz w:val="24"/>
        </w:rPr>
        <w:t>、修业年限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</w:rPr>
        <w:t>3</w:t>
      </w:r>
      <w:r>
        <w:rPr>
          <w:color w:val="000000"/>
          <w:kern w:val="0"/>
        </w:rPr>
        <w:t>-6年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、授予学位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经济学</w:t>
      </w:r>
      <w:r>
        <w:rPr>
          <w:color w:val="000000"/>
          <w:kern w:val="0"/>
          <w:lang w:val="zh-CN"/>
        </w:rPr>
        <w:t>学士学位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七</w:t>
      </w:r>
      <w:r>
        <w:rPr>
          <w:rFonts w:eastAsia="黑体"/>
          <w:color w:val="000000"/>
          <w:sz w:val="24"/>
        </w:rPr>
        <w:t>、专业方向设置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</w:rPr>
        <w:t>本专业不设置专业方向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八</w:t>
      </w:r>
      <w:r>
        <w:rPr>
          <w:rFonts w:eastAsia="黑体"/>
          <w:color w:val="000000"/>
          <w:sz w:val="24"/>
        </w:rPr>
        <w:t>、</w:t>
      </w:r>
      <w:r>
        <w:rPr>
          <w:rFonts w:hint="eastAsia" w:eastAsia="黑体"/>
          <w:color w:val="000000"/>
          <w:sz w:val="24"/>
        </w:rPr>
        <w:t>课程</w:t>
      </w:r>
      <w:r>
        <w:rPr>
          <w:rFonts w:eastAsia="黑体"/>
          <w:color w:val="000000"/>
          <w:sz w:val="24"/>
        </w:rPr>
        <w:t>学时与学分分布及要求</w:t>
      </w:r>
    </w:p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（一）</w:t>
      </w:r>
      <w:r>
        <w:rPr>
          <w:rFonts w:hint="eastAsia" w:eastAsia="黑体"/>
          <w:color w:val="000000"/>
          <w:kern w:val="0"/>
          <w:lang w:val="zh-CN"/>
        </w:rPr>
        <w:t>课程</w:t>
      </w:r>
      <w:r>
        <w:rPr>
          <w:rFonts w:eastAsia="黑体"/>
          <w:color w:val="000000"/>
          <w:kern w:val="0"/>
          <w:lang w:val="zh-CN"/>
        </w:rPr>
        <w:t>学时</w:t>
      </w:r>
      <w:r>
        <w:rPr>
          <w:rFonts w:hint="eastAsia" w:eastAsia="黑体"/>
          <w:color w:val="000000"/>
          <w:kern w:val="0"/>
        </w:rPr>
        <w:t>与学分</w:t>
      </w:r>
      <w:r>
        <w:rPr>
          <w:rFonts w:eastAsia="黑体"/>
          <w:color w:val="000000"/>
          <w:kern w:val="0"/>
          <w:lang w:val="zh-CN"/>
        </w:rPr>
        <w:t>分布</w:t>
      </w:r>
    </w:p>
    <w:p>
      <w:pPr>
        <w:spacing w:line="360" w:lineRule="atLeast"/>
        <w:ind w:firstLine="420" w:firstLineChars="20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课程总</w:t>
      </w:r>
      <w:r>
        <w:rPr>
          <w:color w:val="000000"/>
          <w:kern w:val="0"/>
          <w:lang w:val="zh-CN"/>
        </w:rPr>
        <w:t>学时分</w:t>
      </w:r>
      <w:r>
        <w:rPr>
          <w:rFonts w:hint="eastAsia"/>
          <w:color w:val="000000"/>
          <w:kern w:val="0"/>
        </w:rPr>
        <w:t>课程教学</w:t>
      </w:r>
      <w:r>
        <w:rPr>
          <w:color w:val="000000"/>
          <w:kern w:val="0"/>
          <w:lang w:val="zh-CN"/>
        </w:rPr>
        <w:t>学时和集中实践环节教学周</w:t>
      </w:r>
      <w:r>
        <w:rPr>
          <w:color w:val="000000"/>
          <w:kern w:val="0"/>
        </w:rPr>
        <w:t>两</w:t>
      </w:r>
      <w:r>
        <w:rPr>
          <w:color w:val="000000"/>
          <w:kern w:val="0"/>
          <w:lang w:val="zh-CN"/>
        </w:rPr>
        <w:t>部分，分别见表1~表2：</w:t>
      </w:r>
    </w:p>
    <w:p>
      <w:pPr>
        <w:spacing w:before="156" w:beforeLines="50" w:after="62" w:afterLines="20" w:line="280" w:lineRule="exact"/>
        <w:jc w:val="center"/>
        <w:rPr>
          <w:color w:val="000000"/>
          <w:kern w:val="0"/>
        </w:rPr>
      </w:pPr>
      <w:r>
        <w:rPr>
          <w:color w:val="000000"/>
          <w:kern w:val="0"/>
        </w:rPr>
        <w:t>表1 课程教学学时与学分分布表</w:t>
      </w:r>
    </w:p>
    <w:tbl>
      <w:tblPr>
        <w:tblStyle w:val="9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0"/>
        <w:gridCol w:w="1378"/>
        <w:gridCol w:w="1594"/>
        <w:gridCol w:w="949"/>
        <w:gridCol w:w="949"/>
        <w:gridCol w:w="1440"/>
        <w:gridCol w:w="126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通识教育课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合计</w:t>
            </w:r>
            <w:r>
              <w:rPr>
                <w:color w:val="000000"/>
                <w:kern w:val="0"/>
                <w:szCs w:val="20"/>
                <w:lang w:val="zh-CN"/>
              </w:rPr>
              <w:t>①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学位课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84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458</w:t>
            </w:r>
          </w:p>
        </w:tc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highlight w:val="yellow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>9.5</w:t>
            </w:r>
          </w:p>
        </w:tc>
      </w:tr>
    </w:tbl>
    <w:p>
      <w:pPr>
        <w:spacing w:before="156" w:beforeLines="50" w:after="62" w:afterLines="20" w:line="280" w:lineRule="exact"/>
        <w:jc w:val="center"/>
        <w:rPr>
          <w:color w:val="000000"/>
          <w:kern w:val="0"/>
          <w:szCs w:val="20"/>
        </w:rPr>
      </w:pPr>
    </w:p>
    <w:p>
      <w:pPr>
        <w:spacing w:before="156" w:beforeLines="50" w:after="62" w:afterLines="20" w:line="280" w:lineRule="exact"/>
        <w:jc w:val="center"/>
        <w:rPr>
          <w:color w:val="000000"/>
          <w:kern w:val="0"/>
          <w:szCs w:val="20"/>
        </w:rPr>
      </w:pPr>
      <w:r>
        <w:rPr>
          <w:color w:val="000000"/>
          <w:kern w:val="0"/>
          <w:szCs w:val="20"/>
        </w:rPr>
        <w:t xml:space="preserve">表2 </w:t>
      </w:r>
      <w:r>
        <w:rPr>
          <w:color w:val="000000"/>
          <w:kern w:val="0"/>
        </w:rPr>
        <w:t>集中实践环节教学周与学分分布表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"/>
        <w:gridCol w:w="2104"/>
        <w:gridCol w:w="2104"/>
        <w:gridCol w:w="1207"/>
        <w:gridCol w:w="120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ind w:left="-27" w:leftChars="-13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合计</w:t>
            </w:r>
            <w:r>
              <w:rPr>
                <w:color w:val="000000"/>
                <w:kern w:val="0"/>
                <w:szCs w:val="20"/>
                <w:lang w:val="zh-CN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周数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</w:t>
            </w:r>
            <w:r>
              <w:rPr>
                <w:color w:val="000000"/>
                <w:kern w:val="0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</w:t>
            </w:r>
            <w:r>
              <w:rPr>
                <w:color w:val="000000"/>
                <w:kern w:val="0"/>
                <w:szCs w:val="21"/>
              </w:rPr>
              <w:t>.0</w:t>
            </w:r>
          </w:p>
        </w:tc>
      </w:tr>
    </w:tbl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（二）应完成学分要求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szCs w:val="21"/>
        </w:rPr>
        <w:t>本专业学生必须修满165学分方可毕业，其中必修13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学分，选修</w:t>
      </w:r>
      <w:r>
        <w:rPr>
          <w:color w:val="000000"/>
          <w:szCs w:val="21"/>
        </w:rPr>
        <w:t>28</w:t>
      </w:r>
      <w:r>
        <w:rPr>
          <w:rFonts w:hint="eastAsia"/>
          <w:color w:val="000000"/>
          <w:szCs w:val="21"/>
        </w:rPr>
        <w:t>学分（含通识教育课程12学分）。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九</w:t>
      </w:r>
      <w:r>
        <w:rPr>
          <w:rFonts w:eastAsia="黑体"/>
          <w:color w:val="000000"/>
          <w:sz w:val="24"/>
        </w:rPr>
        <w:t>、培养方案</w:t>
      </w:r>
      <w:r>
        <w:rPr>
          <w:rFonts w:hint="eastAsia" w:eastAsia="黑体"/>
          <w:color w:val="000000"/>
          <w:sz w:val="24"/>
        </w:rPr>
        <w:t>进程</w:t>
      </w:r>
      <w:r>
        <w:rPr>
          <w:rFonts w:eastAsia="黑体"/>
          <w:color w:val="000000"/>
          <w:sz w:val="24"/>
        </w:rPr>
        <w:t>安排</w:t>
      </w:r>
    </w:p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（一）培养方案进程总表（见附表1）</w:t>
      </w:r>
    </w:p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（二）培养方案进程表（见附表2</w:t>
      </w:r>
      <w:r>
        <w:rPr>
          <w:rFonts w:hint="eastAsia" w:eastAsia="黑体"/>
          <w:color w:val="000000"/>
          <w:kern w:val="0"/>
          <w:lang w:val="zh-CN"/>
        </w:rPr>
        <w:t>、</w:t>
      </w:r>
      <w:r>
        <w:rPr>
          <w:rFonts w:hint="eastAsia" w:eastAsia="黑体"/>
          <w:color w:val="000000"/>
          <w:kern w:val="0"/>
        </w:rPr>
        <w:t>附表3</w:t>
      </w:r>
      <w:r>
        <w:rPr>
          <w:rFonts w:eastAsia="黑体"/>
          <w:color w:val="000000"/>
          <w:kern w:val="0"/>
          <w:lang w:val="zh-CN"/>
        </w:rPr>
        <w:t>）</w:t>
      </w:r>
    </w:p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（三）学位课程设置表（见附表</w:t>
      </w:r>
      <w:r>
        <w:rPr>
          <w:rFonts w:hint="eastAsia" w:eastAsia="黑体"/>
          <w:color w:val="000000"/>
          <w:kern w:val="0"/>
        </w:rPr>
        <w:t>4</w:t>
      </w:r>
      <w:r>
        <w:rPr>
          <w:rFonts w:eastAsia="黑体"/>
          <w:color w:val="000000"/>
          <w:kern w:val="0"/>
          <w:lang w:val="zh-CN"/>
        </w:rPr>
        <w:t>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十、课程设置与“五育”的对应关系矩阵（</w:t>
      </w:r>
      <w:r>
        <w:rPr>
          <w:rFonts w:hint="eastAsia" w:eastAsia="黑体"/>
          <w:color w:val="000000"/>
          <w:sz w:val="24"/>
          <w:lang w:val="zh-CN"/>
        </w:rPr>
        <w:t>见附表</w:t>
      </w:r>
      <w:r>
        <w:rPr>
          <w:rFonts w:hint="eastAsia" w:eastAsia="黑体"/>
          <w:color w:val="000000"/>
          <w:sz w:val="24"/>
        </w:rPr>
        <w:t>5）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十一</w:t>
      </w:r>
      <w:r>
        <w:rPr>
          <w:rFonts w:eastAsia="黑体"/>
          <w:color w:val="000000"/>
          <w:sz w:val="24"/>
        </w:rPr>
        <w:t>、</w:t>
      </w:r>
      <w:r>
        <w:rPr>
          <w:rFonts w:hint="eastAsia" w:eastAsia="黑体"/>
          <w:color w:val="000000"/>
          <w:sz w:val="24"/>
        </w:rPr>
        <w:t>课程设置与毕业要求的对应关系矩阵（</w:t>
      </w:r>
      <w:r>
        <w:rPr>
          <w:rFonts w:hint="eastAsia" w:eastAsia="黑体"/>
          <w:color w:val="000000"/>
          <w:sz w:val="24"/>
          <w:lang w:val="zh-CN"/>
        </w:rPr>
        <w:t>见附表</w:t>
      </w:r>
      <w:r>
        <w:rPr>
          <w:rFonts w:hint="eastAsia" w:eastAsia="黑体"/>
          <w:color w:val="000000"/>
          <w:sz w:val="24"/>
        </w:rPr>
        <w:t>6）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十二、双学位专业课程设置与教学进程表（见附表7）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十三、辅修专业课程设置与教学进程表（见附表8）</w:t>
      </w:r>
    </w:p>
    <w:p>
      <w:pPr>
        <w:spacing w:before="312" w:beforeLines="100"/>
        <w:rPr>
          <w:rFonts w:eastAsia="黑体"/>
          <w:color w:val="000000"/>
          <w:sz w:val="24"/>
        </w:rPr>
      </w:pPr>
    </w:p>
    <w:p>
      <w:pPr>
        <w:spacing w:before="156" w:beforeLines="50" w:line="360" w:lineRule="exact"/>
        <w:rPr>
          <w:rFonts w:eastAsia="黑体"/>
          <w:color w:val="000000"/>
          <w:kern w:val="0"/>
        </w:rPr>
      </w:pPr>
    </w:p>
    <w:p>
      <w:pPr>
        <w:widowControl/>
        <w:spacing w:line="40" w:lineRule="exact"/>
        <w:jc w:val="left"/>
        <w:rPr>
          <w:color w:val="000000"/>
          <w:szCs w:val="21"/>
        </w:rPr>
      </w:pPr>
    </w:p>
    <w:p>
      <w:pPr>
        <w:widowControl/>
        <w:spacing w:line="40" w:lineRule="exact"/>
        <w:jc w:val="left"/>
        <w:rPr>
          <w:color w:val="000000"/>
          <w:szCs w:val="21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24"/>
        </w:rPr>
        <w:t>附表1：</w:t>
      </w:r>
    </w:p>
    <w:p>
      <w:pPr>
        <w:jc w:val="center"/>
        <w:rPr>
          <w:rFonts w:eastAsia="黑体"/>
          <w:b/>
          <w:bCs/>
          <w:color w:val="FF0000"/>
          <w:sz w:val="36"/>
          <w:szCs w:val="36"/>
        </w:rPr>
      </w:pPr>
      <w:r>
        <w:rPr>
          <w:rFonts w:hint="eastAsia" w:eastAsia="黑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金融工程</w:t>
      </w:r>
      <w:r>
        <w:rPr>
          <w:rFonts w:eastAsia="黑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专业培养方案</w:t>
      </w:r>
      <w:r>
        <w:rPr>
          <w:rFonts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进程总表</w:t>
      </w:r>
    </w:p>
    <w:p>
      <w:pPr>
        <w:spacing w:line="340" w:lineRule="exact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时间分配表（周）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66"/>
        <w:gridCol w:w="316"/>
        <w:gridCol w:w="316"/>
        <w:gridCol w:w="368"/>
        <w:gridCol w:w="382"/>
        <w:gridCol w:w="382"/>
        <w:gridCol w:w="461"/>
        <w:gridCol w:w="382"/>
        <w:gridCol w:w="382"/>
        <w:gridCol w:w="413"/>
        <w:gridCol w:w="382"/>
        <w:gridCol w:w="382"/>
        <w:gridCol w:w="382"/>
        <w:gridCol w:w="382"/>
        <w:gridCol w:w="382"/>
        <w:gridCol w:w="382"/>
        <w:gridCol w:w="461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center"/>
          </w:tcPr>
          <w:p>
            <w:pPr>
              <w:ind w:firstLine="271" w:firstLineChars="15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周</w:t>
            </w:r>
          </w:p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   次</w:t>
            </w:r>
          </w:p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年    </w:t>
            </w:r>
          </w:p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度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军事训练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理论教学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各类实习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课程设计</w:t>
            </w: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考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试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劳动（</w:t>
            </w:r>
            <w:r>
              <w:rPr>
                <w:b/>
                <w:bCs/>
                <w:color w:val="000000"/>
                <w:sz w:val="18"/>
                <w:szCs w:val="18"/>
              </w:rPr>
              <w:t>机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设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答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辩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毕业教育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社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会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实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践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总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备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一学年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★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★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⊙,L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◆</w:t>
            </w:r>
            <w:r>
              <w:rPr>
                <w:color w:val="000000"/>
                <w:spacing w:val="-20"/>
                <w:sz w:val="18"/>
                <w:szCs w:val="18"/>
              </w:rPr>
              <w:t>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@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二学年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⊥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⊥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⊥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◆,K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@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¤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¤</w:t>
            </w: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三学年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@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@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@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◆,K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×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×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×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@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@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四学年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⊥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⊥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◆,K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color w:val="000000"/>
                <w:sz w:val="18"/>
                <w:szCs w:val="18"/>
              </w:rPr>
              <w:t>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14</w:t>
            </w:r>
            <w:r>
              <w:rPr>
                <w:b/>
                <w:bCs/>
                <w:color w:val="000000"/>
                <w:sz w:val="18"/>
                <w:szCs w:val="18"/>
              </w:rPr>
              <w:t>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color w:val="000000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76"/>
        <w:gridCol w:w="1526"/>
        <w:gridCol w:w="1623"/>
        <w:gridCol w:w="1440"/>
        <w:gridCol w:w="1443"/>
        <w:gridCol w:w="1797"/>
        <w:gridCol w:w="1721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符号说明：</w:t>
            </w: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机动 ♀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入学教育 ⊙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军训 ★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理论教学L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毕业教育 √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 K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课程设计 @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金工实习 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假期 ＝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学年论文 ▲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技能训练 Ｇ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毕业设计 ～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毕业鉴定 ！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毕业实习 /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写生 Ｓ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教学实习 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教材教法 Τ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教育实习 ☆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技能教育实习 技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专题讲座 ◎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劳动 ◆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毕业论文 文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社会调查 △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认识实习 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专业实验或实习 Ε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生产实习 ×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社会实践 ¤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专业实习 〒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综合实践 ◇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电工电子实习 ※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电工技术实习 〓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毕业答辩 #</w:t>
            </w:r>
          </w:p>
        </w:tc>
      </w:tr>
    </w:tbl>
    <w:p>
      <w:pPr>
        <w:widowControl/>
        <w:spacing w:line="340" w:lineRule="exact"/>
        <w:jc w:val="left"/>
        <w:rPr>
          <w:color w:val="000000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6838" w:h="11906" w:orient="landscape"/>
          <w:pgMar w:top="1417" w:right="1417" w:bottom="1417" w:left="1417" w:header="851" w:footer="992" w:gutter="0"/>
          <w:cols w:space="720" w:num="1"/>
        </w:sect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附表2：</w:t>
      </w:r>
    </w:p>
    <w:p>
      <w:pPr>
        <w:spacing w:after="60" w:afterLines="25" w:line="400" w:lineRule="exact"/>
        <w:jc w:val="center"/>
        <w:rPr>
          <w:rFonts w:eastAsia="黑体"/>
          <w:bCs/>
          <w:color w:val="000000"/>
          <w:sz w:val="36"/>
        </w:rPr>
      </w:pPr>
      <w:r>
        <w:rPr>
          <w:rFonts w:hint="eastAsia" w:ascii="华文中宋" w:eastAsia="华文中宋"/>
          <w:b/>
          <w:sz w:val="32"/>
        </w:rPr>
        <w:t>金融工程专业课程设置与教学进程表</w:t>
      </w:r>
    </w:p>
    <w:tbl>
      <w:tblPr>
        <w:tblStyle w:val="9"/>
        <w:tblW w:w="13888" w:type="dxa"/>
        <w:tblInd w:w="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253"/>
        <w:gridCol w:w="300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460"/>
        <w:gridCol w:w="461"/>
        <w:gridCol w:w="653"/>
        <w:gridCol w:w="1045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Header/>
        </w:trPr>
        <w:tc>
          <w:tcPr>
            <w:tcW w:w="493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03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  <w:r>
              <w:rPr>
                <w:rFonts w:hint="eastAsia"/>
                <w:b/>
                <w:w w:val="95"/>
                <w:sz w:val="18"/>
                <w:szCs w:val="18"/>
                <w:lang w:val="en-US"/>
              </w:rPr>
              <w:t>体系</w:t>
            </w:r>
          </w:p>
        </w:tc>
        <w:tc>
          <w:tcPr>
            <w:tcW w:w="300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03" w:right="5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修读性质</w:t>
            </w:r>
          </w:p>
        </w:tc>
        <w:tc>
          <w:tcPr>
            <w:tcW w:w="1065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课程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编码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课码名称</w:t>
            </w:r>
          </w:p>
        </w:tc>
        <w:tc>
          <w:tcPr>
            <w:tcW w:w="488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学分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30" w:right="12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学时</w:t>
            </w:r>
          </w:p>
        </w:tc>
        <w:tc>
          <w:tcPr>
            <w:tcW w:w="1520" w:type="dxa"/>
            <w:gridSpan w:val="3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6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3752" w:type="dxa"/>
            <w:gridSpan w:val="8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1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各学期学分分配</w:t>
            </w:r>
          </w:p>
        </w:tc>
        <w:tc>
          <w:tcPr>
            <w:tcW w:w="653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 w:right="16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045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开课单位</w:t>
            </w:r>
          </w:p>
        </w:tc>
        <w:tc>
          <w:tcPr>
            <w:tcW w:w="1200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tblHeader/>
        </w:trPr>
        <w:tc>
          <w:tcPr>
            <w:tcW w:w="493" w:type="dxa"/>
            <w:gridSpan w:val="2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0" w:right="10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3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4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653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03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公共基础课程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必修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2000024000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入学教育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16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2000001020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24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2000002030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思想道德修养与法律基础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16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2000003030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2000004030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马克思主义基本原理概论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2000099050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2000007030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大学英语(1)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2000008030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大学英语(2)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2000009020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大学英语(3)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2000014000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大学英语实践(1)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2000017000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大学英语实践(2)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2000013010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大学体育(1)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2000014010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大学体育(2)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2000015010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大学体育(3)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2000018010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大学体育(4)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2000016010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社会实践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2000022010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军事理论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军事教研室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2000021000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军事技能训练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军事教研室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2000023010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大学生心理健康教育与指导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心理教育衷心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2000019010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就业指导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招就处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2000020010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创业基础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招就处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2000025000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毕业教育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2001572000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793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48" w:right="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29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794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6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instrText xml:space="preserve"> =SUM(ABOVE) \* MERGEFORMAT </w:instrTex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488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59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306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基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础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</w:t>
            </w:r>
          </w:p>
          <w:p>
            <w:pPr>
              <w:pStyle w:val="15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bidi="ar"/>
              </w:rPr>
              <w:t>程</w:t>
            </w:r>
          </w:p>
        </w:tc>
        <w:tc>
          <w:tcPr>
            <w:tcW w:w="30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  <w:p>
            <w:pPr>
              <w:pStyle w:val="15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2001789020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政治经济学(资本主义部分)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zh-CN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200179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</w:t>
            </w:r>
            <w:bookmarkStart w:id="1" w:name="_GoBack"/>
            <w:bookmarkEnd w:id="1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政治经济学(社会主义部分)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2000058035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高等数学B(1)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zh-CN"/>
              </w:rPr>
              <w:t>3.5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2000059045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高等数学B(2)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4.5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2000063020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线性代数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B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2000064035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A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2001387030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微观经济学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zh-CN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2001522030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宏观经济学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2001687030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2001688030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财政学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2001528030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2000052020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Python语言程序设计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计算机学院</w:t>
            </w:r>
          </w:p>
        </w:tc>
        <w:tc>
          <w:tcPr>
            <w:tcW w:w="120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2001529030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计量经济学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300" w:type="dxa"/>
            <w:vMerge w:val="continue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2001617030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国际金融理论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93" w:type="dxa"/>
            <w:gridSpan w:val="3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40.5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</w:t>
            </w:r>
            <w:r>
              <w:rPr>
                <w:rFonts w:hint="eastAsia"/>
                <w:b/>
                <w:sz w:val="15"/>
                <w:szCs w:val="15"/>
                <w:lang w:val="en-US"/>
              </w:rPr>
              <w:t>.5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rFonts w:hint="eastAsia"/>
                <w:b/>
                <w:sz w:val="15"/>
                <w:szCs w:val="15"/>
                <w:lang w:val="en-US"/>
              </w:rPr>
              <w:t>1</w:t>
            </w:r>
            <w:r>
              <w:rPr>
                <w:b/>
                <w:sz w:val="15"/>
                <w:szCs w:val="15"/>
                <w:lang w:val="en-US"/>
              </w:rPr>
              <w:t>4</w:t>
            </w:r>
            <w:r>
              <w:rPr>
                <w:rFonts w:hint="eastAsia"/>
                <w:b/>
                <w:sz w:val="15"/>
                <w:szCs w:val="15"/>
                <w:lang w:val="en-US"/>
              </w:rPr>
              <w:t>.5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rFonts w:hint="eastAsia"/>
                <w:b/>
                <w:sz w:val="15"/>
                <w:szCs w:val="15"/>
                <w:lang w:val="en-US"/>
              </w:rPr>
              <w:t>14.5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rFonts w:hint="eastAsia"/>
                <w:b/>
                <w:sz w:val="15"/>
                <w:szCs w:val="15"/>
                <w:lang w:val="en-US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专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业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主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干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课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程</w:t>
            </w:r>
          </w:p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restart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必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2001685010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金融工程导论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2001600030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应用随机过程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2001601030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时间序列分析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2001402030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会计学原理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2001602030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投资学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2001603030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金融衍生工具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2001604030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机器学习与量化投资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2001605035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金融工程学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.5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  <w:lang w:val="en-US"/>
              </w:rPr>
              <w:t>.5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2001839020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金融财务英语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2001840020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金融数据挖掘</w:t>
            </w:r>
          </w:p>
        </w:tc>
        <w:tc>
          <w:tcPr>
            <w:tcW w:w="488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045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2001841020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保险精算学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2001606030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行为金融学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2001607030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风险管理与保险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2001845020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国际金融实务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793" w:type="dxa"/>
            <w:gridSpan w:val="3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36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.5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48" w:right="3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584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9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504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9" w:right="5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7</w:t>
            </w:r>
            <w:r>
              <w:rPr>
                <w:b/>
                <w:sz w:val="18"/>
                <w:szCs w:val="18"/>
                <w:lang w:val="en-US"/>
              </w:rPr>
              <w:t>.5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专业选修课程</w:t>
            </w:r>
          </w:p>
        </w:tc>
        <w:tc>
          <w:tcPr>
            <w:tcW w:w="25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本专业不设置方向</w:t>
            </w:r>
          </w:p>
        </w:tc>
        <w:tc>
          <w:tcPr>
            <w:tcW w:w="300" w:type="dxa"/>
            <w:vMerge w:val="restart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选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2001608030</w:t>
            </w: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大宗商品投资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4选2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2001609030</w:t>
            </w: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原油期货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2001610030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权益类投资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2001508030</w:t>
            </w: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网络金融与电子支付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2001842020</w:t>
            </w: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商业银行经营管理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选2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2001843020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资本运营理论与实务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2001844020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投资银行学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2001611030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金融工程前沿专题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选2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2001613030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国际金融前沿专题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2001027030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04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2002177030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国际商务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Merge w:val="continue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793" w:type="dxa"/>
            <w:gridSpan w:val="3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48" w:right="3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256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92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256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3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3888" w:type="dxa"/>
            <w:gridSpan w:val="21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应修专业选修课不少于</w:t>
            </w:r>
            <w:r>
              <w:rPr>
                <w:b/>
                <w:bCs/>
                <w:sz w:val="18"/>
                <w:szCs w:val="18"/>
                <w:lang w:val="en-US"/>
              </w:rPr>
              <w:t>16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学分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exact"/>
        </w:trPr>
        <w:tc>
          <w:tcPr>
            <w:tcW w:w="493" w:type="dxa"/>
            <w:gridSpan w:val="2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通识教育课程</w:t>
            </w:r>
          </w:p>
        </w:tc>
        <w:tc>
          <w:tcPr>
            <w:tcW w:w="300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选修</w:t>
            </w:r>
          </w:p>
        </w:tc>
        <w:tc>
          <w:tcPr>
            <w:tcW w:w="13095" w:type="dxa"/>
            <w:gridSpan w:val="18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firstLine="360" w:firstLineChars="20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应修通识教育课程（含线上线下通识教育课程、创新与技能学分认定课程）不少于12学分，其中艺术与审美类课程不少于1.5学分，创新与技能学分认定课程不超过4.5学分。</w:t>
            </w:r>
          </w:p>
        </w:tc>
      </w:tr>
    </w:tbl>
    <w:p>
      <w:pPr>
        <w:spacing w:line="360" w:lineRule="auto"/>
        <w:jc w:val="center"/>
        <w:rPr>
          <w:rFonts w:eastAsia="黑体"/>
          <w:bCs/>
          <w:color w:val="000000"/>
          <w:sz w:val="36"/>
        </w:rPr>
      </w:pPr>
    </w:p>
    <w:p>
      <w:pPr>
        <w:widowControl/>
        <w:jc w:val="left"/>
        <w:rPr>
          <w:color w:val="000000"/>
        </w:rPr>
        <w:sectPr>
          <w:headerReference r:id="rId10" w:type="default"/>
          <w:footerReference r:id="rId12" w:type="default"/>
          <w:headerReference r:id="rId11" w:type="even"/>
          <w:footerReference r:id="rId13" w:type="even"/>
          <w:pgSz w:w="16838" w:h="11906" w:orient="landscape"/>
          <w:pgMar w:top="1417" w:right="1417" w:bottom="1417" w:left="1417" w:header="851" w:footer="992" w:gutter="0"/>
          <w:cols w:space="720" w:num="1"/>
        </w:sectPr>
      </w:pPr>
    </w:p>
    <w:p>
      <w:pPr>
        <w:rPr>
          <w:color w:val="000000"/>
          <w:sz w:val="23"/>
          <w:szCs w:val="23"/>
        </w:rPr>
      </w:pPr>
      <w:r>
        <w:rPr>
          <w:color w:val="000000"/>
          <w:sz w:val="24"/>
        </w:rPr>
        <w:t>附表3：</w:t>
      </w:r>
    </w:p>
    <w:p>
      <w:pPr>
        <w:spacing w:after="120" w:afterLines="50"/>
        <w:jc w:val="center"/>
        <w:rPr>
          <w:rFonts w:eastAsia="黑体"/>
          <w:bCs/>
          <w:color w:val="000000"/>
          <w:sz w:val="36"/>
        </w:rPr>
      </w:pPr>
      <w:r>
        <w:rPr>
          <w:rFonts w:hint="eastAsia" w:eastAsia="黑体"/>
          <w:bCs/>
          <w:color w:val="000000"/>
          <w:sz w:val="36"/>
        </w:rPr>
        <w:t>金融工程专业</w:t>
      </w:r>
      <w:r>
        <w:rPr>
          <w:rFonts w:eastAsia="黑体"/>
          <w:bCs/>
          <w:color w:val="000000"/>
          <w:sz w:val="36"/>
        </w:rPr>
        <w:t>集中实践环节设置表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"/>
        <w:gridCol w:w="990"/>
        <w:gridCol w:w="2968"/>
        <w:gridCol w:w="546"/>
        <w:gridCol w:w="547"/>
        <w:gridCol w:w="547"/>
        <w:gridCol w:w="1341"/>
        <w:gridCol w:w="11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周数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开设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开课单位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修读性质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2000053010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ython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计算机学院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2001594010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金融模拟实验A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2001689010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统计学实验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2001564010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计量经济学实验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2001597010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时间序列分析实验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2001818020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金融数据挖掘实验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2001817020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金融工程专业综合实验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2001563080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金融工程毕业实习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2001683000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毕业答辩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2001562100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金融工程毕业论文（设计）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合计</w:t>
            </w:r>
            <w:r>
              <w:rPr>
                <w:b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27</w:t>
            </w:r>
            <w:r>
              <w:rPr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28</w:t>
            </w:r>
            <w:r>
              <w:rPr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color w:val="000000"/>
          <w:sz w:val="24"/>
        </w:rPr>
        <w:br w:type="page"/>
      </w:r>
    </w:p>
    <w:p>
      <w:pPr>
        <w:rPr>
          <w:color w:val="000000"/>
          <w:sz w:val="23"/>
          <w:szCs w:val="23"/>
        </w:rPr>
      </w:pPr>
      <w:r>
        <w:rPr>
          <w:color w:val="000000"/>
          <w:sz w:val="24"/>
        </w:rPr>
        <w:t>附表4：</w:t>
      </w:r>
    </w:p>
    <w:p>
      <w:pPr>
        <w:spacing w:after="120" w:afterLines="50"/>
        <w:jc w:val="center"/>
        <w:rPr>
          <w:rFonts w:eastAsia="黑体"/>
          <w:bCs/>
          <w:color w:val="000000"/>
          <w:sz w:val="36"/>
        </w:rPr>
      </w:pPr>
      <w:r>
        <w:rPr>
          <w:rFonts w:hint="eastAsia" w:eastAsia="黑体"/>
          <w:bCs/>
          <w:color w:val="000000"/>
          <w:sz w:val="36"/>
        </w:rPr>
        <w:t>金融工程专业</w:t>
      </w:r>
      <w:r>
        <w:rPr>
          <w:rFonts w:eastAsia="黑体"/>
          <w:bCs/>
          <w:color w:val="000000"/>
          <w:sz w:val="36"/>
        </w:rPr>
        <w:t>学位课程设置表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8"/>
        <w:gridCol w:w="998"/>
        <w:gridCol w:w="3189"/>
        <w:gridCol w:w="734"/>
        <w:gridCol w:w="581"/>
        <w:gridCol w:w="517"/>
        <w:gridCol w:w="1399"/>
        <w:gridCol w:w="497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开设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开课单位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2000003030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2001789020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政治经济学(资本主义部分)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2000007030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大学英语(1)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2001387030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微观经济学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2001522030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宏观经济学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2001791020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政治经济学(社会主义部分)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2000002030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2000008030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大学英语(2)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2001687030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2001402030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会计学原理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2000099050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2000009020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大学英语(3)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2001528030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2001688030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2001529030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计量经济学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2000004030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2001617030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国际金融理论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2001600030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应用随机过程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2001601030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时间序列分析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2001602030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2001603030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金融衍生工具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2001605035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金融工程学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2001839020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金融财务英语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2001841020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保险精算学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</w:t>
            </w:r>
            <w:r>
              <w:rPr>
                <w:b/>
                <w:bCs/>
                <w:color w:val="000000"/>
                <w:sz w:val="18"/>
                <w:szCs w:val="18"/>
              </w:rPr>
              <w:t>计：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69.</w:t>
            </w: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18"/>
          <w:szCs w:val="18"/>
        </w:rPr>
      </w:pPr>
    </w:p>
    <w:p>
      <w:pPr>
        <w:pStyle w:val="2"/>
        <w:spacing w:before="0" w:line="498" w:lineRule="exact"/>
        <w:ind w:left="0"/>
        <w:rPr>
          <w:color w:val="000000"/>
          <w:sz w:val="23"/>
          <w:szCs w:val="23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：</w:t>
      </w:r>
    </w:p>
    <w:p>
      <w:pPr>
        <w:pStyle w:val="2"/>
        <w:spacing w:before="0" w:line="498" w:lineRule="exact"/>
        <w:ind w:left="976" w:leftChars="465" w:firstLine="950" w:firstLineChars="349"/>
        <w:jc w:val="left"/>
        <w:rPr>
          <w:w w:val="85"/>
        </w:rPr>
      </w:pPr>
      <w:r>
        <w:rPr>
          <w:rFonts w:hint="eastAsia"/>
          <w:w w:val="85"/>
        </w:rPr>
        <w:t>金融工程</w:t>
      </w:r>
      <w:r>
        <w:rPr>
          <w:w w:val="85"/>
        </w:rPr>
        <w:t>专业课程设置与</w:t>
      </w:r>
      <w:r>
        <w:rPr>
          <w:rFonts w:hint="eastAsia"/>
          <w:w w:val="85"/>
        </w:rPr>
        <w:t>“</w:t>
      </w:r>
      <w:r>
        <w:rPr>
          <w:rFonts w:hint="eastAsia"/>
          <w:w w:val="85"/>
          <w:lang w:val="en-US"/>
        </w:rPr>
        <w:t>五育</w:t>
      </w:r>
      <w:r>
        <w:rPr>
          <w:rFonts w:hint="eastAsia"/>
          <w:w w:val="85"/>
        </w:rPr>
        <w:t>”</w:t>
      </w:r>
      <w:r>
        <w:rPr>
          <w:w w:val="85"/>
        </w:rPr>
        <w:t>的对应关系矩阵</w:t>
      </w:r>
    </w:p>
    <w:p>
      <w:pPr>
        <w:rPr>
          <w:w w:val="85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9"/>
        <w:gridCol w:w="907"/>
        <w:gridCol w:w="907"/>
        <w:gridCol w:w="907"/>
        <w:gridCol w:w="907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napToGrid w:val="0"/>
              <w:spacing w:line="302" w:lineRule="exact"/>
              <w:ind w:firstLine="723" w:firstLineChars="300"/>
              <w:jc w:val="center"/>
              <w:rPr>
                <w:b/>
                <w:sz w:val="24"/>
                <w:lang w:val="en-US"/>
              </w:rPr>
            </w:pPr>
          </w:p>
          <w:p>
            <w:pPr>
              <w:pStyle w:val="15"/>
              <w:snapToGrid w:val="0"/>
              <w:spacing w:line="302" w:lineRule="exact"/>
              <w:ind w:firstLine="723" w:firstLineChars="300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课程名称</w:t>
            </w:r>
          </w:p>
          <w:p>
            <w:pPr>
              <w:pStyle w:val="15"/>
              <w:snapToGrid w:val="0"/>
              <w:spacing w:line="302" w:lineRule="exact"/>
              <w:ind w:firstLine="723" w:firstLineChars="300"/>
              <w:jc w:val="center"/>
              <w:rPr>
                <w:b/>
                <w:sz w:val="24"/>
                <w:lang w:val="en-US"/>
              </w:rPr>
            </w:pPr>
          </w:p>
          <w:p>
            <w:pPr>
              <w:pStyle w:val="15"/>
              <w:snapToGrid w:val="0"/>
              <w:spacing w:line="302" w:lineRule="exact"/>
              <w:ind w:firstLine="723" w:firstLineChars="300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五育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德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智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体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 w:line="256" w:lineRule="auto"/>
              <w:ind w:left="110" w:right="113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美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马克思主义基本原理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line="214" w:lineRule="exact"/>
              <w:ind w:left="27"/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9"/>
              <w:ind w:lef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line="213" w:lineRule="exact"/>
              <w:ind w:left="27" w:right="-15"/>
              <w:rPr>
                <w:sz w:val="18"/>
              </w:rPr>
            </w:pPr>
            <w:r>
              <w:rPr>
                <w:spacing w:val="-7"/>
                <w:sz w:val="18"/>
              </w:rPr>
              <w:t>形势与政策</w:t>
            </w:r>
            <w:r>
              <w:rPr>
                <w:sz w:val="18"/>
              </w:rPr>
              <w:t>（当代世界经济与政治）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大学生心理健康教育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line="213" w:lineRule="exact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大学生职业发展与就业创业指导 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131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line="209" w:lineRule="exact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大学生职业发展与就业创业指导 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1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7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1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7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高等数学</w:t>
            </w:r>
            <w:r>
              <w:rPr>
                <w:sz w:val="18"/>
                <w:lang w:val="en-US"/>
              </w:rPr>
              <w:t>B</w:t>
            </w:r>
            <w:r>
              <w:rPr>
                <w:rFonts w:hint="eastAsia"/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1)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高等数学</w:t>
            </w:r>
            <w:r>
              <w:rPr>
                <w:sz w:val="18"/>
                <w:lang w:val="en-US"/>
              </w:rPr>
              <w:t>B</w:t>
            </w:r>
            <w:r>
              <w:rPr>
                <w:rFonts w:hint="eastAsia"/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2)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线性代数</w:t>
            </w:r>
            <w:r>
              <w:rPr>
                <w:sz w:val="18"/>
                <w:lang w:val="en-US"/>
              </w:rPr>
              <w:t>B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概率论与数理统计A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政治经济学(资本主义部分)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政治经济学(社会主义部分)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微观经济学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宏观经济学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财政学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统计学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Python</w:t>
            </w:r>
            <w:r>
              <w:rPr>
                <w:rFonts w:hint="eastAsia"/>
                <w:sz w:val="18"/>
                <w:lang w:val="en-US"/>
              </w:rPr>
              <w:t>语言程序设计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计量经济学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国际金融理论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金融工程导论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应用随机过程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时间序列分析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会计学原理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投资学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金融衍生工具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机器学习与量化投资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金融工程学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金融财务英语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金融数据挖掘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保险精算学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行为金融学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风险管理与保险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国际金融实务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金融工程专业综合实验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专业选修课程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/>
              <w:ind w:left="23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6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通识教育课程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88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88"/>
              <w:ind w:left="23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</w:tr>
    </w:tbl>
    <w:p>
      <w:pPr>
        <w:pStyle w:val="4"/>
        <w:spacing w:before="15"/>
        <w:rPr>
          <w:rFonts w:ascii="华文中宋"/>
          <w:b/>
          <w:sz w:val="5"/>
        </w:rPr>
      </w:pPr>
    </w:p>
    <w:p>
      <w:pPr>
        <w:pStyle w:val="4"/>
        <w:spacing w:before="72"/>
        <w:ind w:left="640"/>
      </w:pPr>
      <w:r>
        <w:t>注: 符号 H、M、L 分别表示各门必修课程对</w:t>
      </w:r>
      <w:r>
        <w:rPr>
          <w:rFonts w:hint="eastAsia"/>
        </w:rPr>
        <w:t>“</w:t>
      </w:r>
      <w:r>
        <w:rPr>
          <w:rFonts w:hint="eastAsia"/>
          <w:lang w:val="en-US"/>
        </w:rPr>
        <w:t>五育</w:t>
      </w:r>
      <w:r>
        <w:rPr>
          <w:rFonts w:hint="eastAsia"/>
        </w:rPr>
        <w:t>”</w:t>
      </w:r>
      <w:r>
        <w:t>的支撑强度，H-强，M-中，L-弱。</w:t>
      </w: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rPr>
          <w:color w:val="000000"/>
          <w:sz w:val="23"/>
          <w:szCs w:val="23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>：</w:t>
      </w:r>
    </w:p>
    <w:p>
      <w:pPr>
        <w:pStyle w:val="2"/>
        <w:spacing w:before="0" w:line="498" w:lineRule="exact"/>
        <w:jc w:val="center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316230</wp:posOffset>
                </wp:positionV>
                <wp:extent cx="1485900" cy="565785"/>
                <wp:effectExtent l="1905" t="4445" r="5715" b="8890"/>
                <wp:wrapNone/>
                <wp:docPr id="97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565785"/>
                        </a:xfrm>
                        <a:prstGeom prst="line">
                          <a:avLst/>
                        </a:prstGeom>
                        <a:ln w="508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margin-left:63.4pt;margin-top:24.9pt;height:44.55pt;width:117pt;mso-position-horizontal-relative:page;z-index:-251658240;mso-width-relative:page;mso-height-relative:page;" filled="f" stroked="t" coordsize="21600,21600" o:gfxdata="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umuT7VAAAACgEA&#10;AA8AAAAAAAAAAQAgAAAAIgAAAGRycy9kb3ducmV2LnhtbFBLAQIUABQAAAAIAIdO4kDs07D75AEA&#10;ANcDAAAOAAAAAAAAAAEAIAAAACQBAABkcnMvZTJvRG9jLnhtbFBLBQYAAAAABgAGAFkBAAB6BQAA&#10;AAA=&#10;">
                <v:fill on="f" focussize="0,0"/>
                <v:stroke weight="0.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bidi="ar-SA"/>
        </w:rPr>
        <w:t>金融工程</w:t>
      </w:r>
      <w:r>
        <w:rPr>
          <w:w w:val="85"/>
        </w:rPr>
        <w:t>专业课程设置与毕业要求的对应关系矩阵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597"/>
        <w:gridCol w:w="596"/>
        <w:gridCol w:w="596"/>
        <w:gridCol w:w="596"/>
        <w:gridCol w:w="592"/>
        <w:gridCol w:w="597"/>
        <w:gridCol w:w="596"/>
        <w:gridCol w:w="596"/>
        <w:gridCol w:w="597"/>
        <w:gridCol w:w="596"/>
        <w:gridCol w:w="596"/>
        <w:gridCol w:w="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341" w:type="dxa"/>
          </w:tcPr>
          <w:p>
            <w:pPr>
              <w:pStyle w:val="15"/>
              <w:spacing w:line="295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毕业要求</w:t>
            </w:r>
          </w:p>
          <w:p>
            <w:pPr>
              <w:pStyle w:val="15"/>
              <w:spacing w:before="10"/>
              <w:rPr>
                <w:rFonts w:ascii="华文中宋"/>
                <w:b/>
                <w:sz w:val="17"/>
              </w:rPr>
            </w:pPr>
          </w:p>
          <w:p>
            <w:pPr>
              <w:pStyle w:val="15"/>
              <w:spacing w:line="30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597" w:type="dxa"/>
          </w:tcPr>
          <w:p>
            <w:pPr>
              <w:pStyle w:val="15"/>
              <w:spacing w:before="91" w:line="256" w:lineRule="auto"/>
              <w:ind w:left="114" w:right="110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1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2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3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0" w:right="113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4</w:t>
            </w:r>
          </w:p>
        </w:tc>
        <w:tc>
          <w:tcPr>
            <w:tcW w:w="592" w:type="dxa"/>
          </w:tcPr>
          <w:p>
            <w:pPr>
              <w:pStyle w:val="15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B1</w:t>
            </w:r>
          </w:p>
        </w:tc>
        <w:tc>
          <w:tcPr>
            <w:tcW w:w="597" w:type="dxa"/>
          </w:tcPr>
          <w:p>
            <w:pPr>
              <w:pStyle w:val="15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B2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B3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B4</w:t>
            </w:r>
          </w:p>
        </w:tc>
        <w:tc>
          <w:tcPr>
            <w:tcW w:w="597" w:type="dxa"/>
          </w:tcPr>
          <w:p>
            <w:pPr>
              <w:pStyle w:val="15"/>
              <w:spacing w:before="91" w:line="256" w:lineRule="auto"/>
              <w:ind w:left="113" w:right="111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C1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09" w:right="114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C2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3" w:right="110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C3</w:t>
            </w:r>
          </w:p>
        </w:tc>
        <w:tc>
          <w:tcPr>
            <w:tcW w:w="597" w:type="dxa"/>
          </w:tcPr>
          <w:p>
            <w:pPr>
              <w:pStyle w:val="15"/>
              <w:spacing w:before="91" w:line="256" w:lineRule="auto"/>
              <w:ind w:left="109" w:right="115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马克思主义基本原理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9"/>
              <w:ind w:left="21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9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line="214" w:lineRule="exact"/>
              <w:ind w:left="27"/>
              <w:rPr>
                <w:sz w:val="18"/>
              </w:rPr>
            </w:pPr>
            <w:r>
              <w:rPr>
                <w:sz w:val="18"/>
              </w:rPr>
              <w:t>毛泽东思想和中国特色社会</w:t>
            </w:r>
          </w:p>
          <w:p>
            <w:pPr>
              <w:pStyle w:val="15"/>
              <w:spacing w:line="209" w:lineRule="exact"/>
              <w:ind w:left="-1"/>
              <w:rPr>
                <w:sz w:val="18"/>
              </w:rPr>
            </w:pPr>
            <w:r>
              <w:rPr>
                <w:sz w:val="18"/>
              </w:rPr>
              <w:t>主义理论体系概论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132"/>
              <w:ind w:lef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6" w:type="dxa"/>
          </w:tcPr>
          <w:p>
            <w:pPr>
              <w:pStyle w:val="15"/>
              <w:spacing w:before="132"/>
              <w:ind w:left="21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132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9"/>
              <w:ind w:lef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9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9"/>
              <w:ind w:left="23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9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9"/>
              <w:ind w:lef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6" w:type="dxa"/>
          </w:tcPr>
          <w:p>
            <w:pPr>
              <w:pStyle w:val="15"/>
              <w:spacing w:before="99"/>
              <w:ind w:left="21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9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line="209" w:lineRule="exact"/>
              <w:ind w:left="-1"/>
              <w:rPr>
                <w:sz w:val="18"/>
              </w:rPr>
            </w:pPr>
            <w:r>
              <w:rPr>
                <w:spacing w:val="-7"/>
                <w:sz w:val="18"/>
              </w:rPr>
              <w:t>形势与政策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131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131"/>
              <w:ind w:left="21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131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9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大学生心理健康教育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9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9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9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line="213" w:lineRule="exact"/>
              <w:ind w:left="27"/>
              <w:rPr>
                <w:sz w:val="18"/>
              </w:rPr>
            </w:pPr>
            <w:r>
              <w:rPr>
                <w:sz w:val="18"/>
              </w:rPr>
              <w:t>大学生职业发展与就业创业</w:t>
            </w:r>
          </w:p>
          <w:p>
            <w:pPr>
              <w:pStyle w:val="15"/>
              <w:spacing w:line="209" w:lineRule="exact"/>
              <w:ind w:left="-1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指导 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2" w:type="dxa"/>
          </w:tcPr>
          <w:p>
            <w:pPr>
              <w:pStyle w:val="15"/>
              <w:spacing w:before="131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13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line="209" w:lineRule="exact"/>
              <w:ind w:left="27"/>
              <w:rPr>
                <w:sz w:val="18"/>
              </w:rPr>
            </w:pPr>
            <w:r>
              <w:rPr>
                <w:sz w:val="18"/>
              </w:rPr>
              <w:t>大学生职业发展与就业创业</w:t>
            </w:r>
          </w:p>
          <w:p>
            <w:pPr>
              <w:pStyle w:val="15"/>
              <w:spacing w:line="209" w:lineRule="exact"/>
              <w:ind w:left="-1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指导 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131"/>
              <w:ind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131"/>
              <w:ind w:righ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1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7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79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79"/>
              <w:ind w:right="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1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3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7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4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79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79"/>
              <w:ind w:right="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高等数学</w:t>
            </w:r>
            <w:r>
              <w:rPr>
                <w:sz w:val="18"/>
                <w:lang w:val="en-US"/>
              </w:rPr>
              <w:t>B</w:t>
            </w:r>
            <w:r>
              <w:rPr>
                <w:rFonts w:hint="eastAsia"/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1)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高等数学</w:t>
            </w:r>
            <w:r>
              <w:rPr>
                <w:sz w:val="18"/>
                <w:lang w:val="en-US"/>
              </w:rPr>
              <w:t>B</w:t>
            </w:r>
            <w:r>
              <w:rPr>
                <w:rFonts w:hint="eastAsia"/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2)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线性代数</w:t>
            </w:r>
            <w:r>
              <w:rPr>
                <w:sz w:val="18"/>
                <w:lang w:val="en-US"/>
              </w:rPr>
              <w:t>B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概率论与数理统计A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政治经济学(资本主义部分)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政治经济学(社会主义部分)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微观经济学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宏观经济学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财政学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统计学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Python</w:t>
            </w:r>
            <w:r>
              <w:rPr>
                <w:rFonts w:hint="eastAsia"/>
                <w:sz w:val="18"/>
                <w:lang w:val="en-US"/>
              </w:rPr>
              <w:t>语言程序设计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计量经济学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国际金融理论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金融工程导论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应用随机过程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时间序列分析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会计学原理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投资学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金融衍生工具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机器学习与量化投资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金融工程学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金融财务英语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金融数据挖掘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保险精算学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行为金融学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风险管理与保险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国际金融实务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金融工程专业综合实验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专业选修课程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6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通识教育课程</w:t>
            </w:r>
          </w:p>
        </w:tc>
        <w:tc>
          <w:tcPr>
            <w:tcW w:w="597" w:type="dxa"/>
          </w:tcPr>
          <w:p>
            <w:pPr>
              <w:pStyle w:val="15"/>
              <w:spacing w:before="88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8"/>
              <w:ind w:left="23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8"/>
              <w:ind w:right="22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ind w:right="223"/>
              <w:jc w:val="right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</w:tbl>
    <w:p>
      <w:pPr>
        <w:pStyle w:val="4"/>
        <w:spacing w:before="15"/>
        <w:rPr>
          <w:rFonts w:ascii="华文中宋"/>
          <w:b/>
          <w:sz w:val="5"/>
        </w:rPr>
      </w:pPr>
    </w:p>
    <w:p>
      <w:pPr>
        <w:pStyle w:val="4"/>
        <w:spacing w:before="72"/>
        <w:ind w:left="640"/>
        <w:sectPr>
          <w:pgSz w:w="11910" w:h="16840"/>
          <w:pgMar w:top="1120" w:right="700" w:bottom="1160" w:left="820" w:header="0" w:footer="892" w:gutter="0"/>
          <w:cols w:space="720" w:num="1"/>
        </w:sectPr>
      </w:pPr>
      <w:r>
        <w:t>注: 符号 H、M、L 分别表示各门必修课程对毕业要求的支撑强度，H-强，M-中，L-弱。</w:t>
      </w:r>
    </w:p>
    <w:p>
      <w:pPr>
        <w:rPr>
          <w:color w:val="000000"/>
          <w:sz w:val="24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7</w:t>
      </w:r>
      <w:r>
        <w:rPr>
          <w:color w:val="000000"/>
          <w:sz w:val="24"/>
        </w:rPr>
        <w:t>：</w:t>
      </w:r>
    </w:p>
    <w:p>
      <w:pPr>
        <w:spacing w:before="156" w:beforeLines="50" w:after="156" w:afterLines="50" w:line="400" w:lineRule="exact"/>
        <w:jc w:val="center"/>
        <w:rPr>
          <w:rFonts w:ascii="华文中宋" w:eastAsia="华文中宋"/>
          <w:b/>
          <w:sz w:val="32"/>
        </w:rPr>
      </w:pPr>
      <w:r>
        <w:rPr>
          <w:rFonts w:hint="eastAsia" w:ascii="华文中宋" w:eastAsia="华文中宋"/>
          <w:b/>
          <w:sz w:val="32"/>
        </w:rPr>
        <w:t>金融工程专业双学位课程设置与教学进程表</w:t>
      </w:r>
    </w:p>
    <w:tbl>
      <w:tblPr>
        <w:tblStyle w:val="9"/>
        <w:tblW w:w="1333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15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2831" w:type="dxa"/>
            <w:gridSpan w:val="6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Header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5"/>
              <w:spacing w:line="20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15"/>
              <w:spacing w:line="200" w:lineRule="exact"/>
              <w:ind w:left="110" w:right="10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left="1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vAlign w:val="center"/>
          </w:tcPr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双</w:t>
            </w:r>
          </w:p>
          <w:p>
            <w:pPr>
              <w:pStyle w:val="15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</w:t>
            </w:r>
          </w:p>
          <w:p>
            <w:pPr>
              <w:pStyle w:val="15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位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ind w:left="79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</w:t>
            </w:r>
          </w:p>
          <w:p>
            <w:pPr>
              <w:pStyle w:val="15"/>
              <w:spacing w:line="20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2001687030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金融学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2001688030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财政学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2001528030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统计学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2001529030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zh-CN" w:bidi="zh-CN"/>
              </w:rPr>
              <w:t>计量经济学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2001617030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zh-CN" w:bidi="zh-CN"/>
              </w:rPr>
              <w:t>国际金融理论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2001600030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zh-CN" w:bidi="zh-CN"/>
              </w:rPr>
              <w:t>应用随机过程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2001601030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zh-CN" w:bidi="zh-CN"/>
              </w:rPr>
              <w:t>时间序列分析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2001602030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投资学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2001603030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金融衍生工具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2001604030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机器学习与量化投资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6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2001605035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金融工程学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56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2001839020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金融财务英语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2001840020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金融数据挖掘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2001402030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会计学原理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2001845020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国际金融实务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2001606030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行为金融学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2001607030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风险管理与保险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2001841020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保险精算学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pStyle w:val="15"/>
              <w:spacing w:line="200" w:lineRule="exact"/>
              <w:ind w:left="48" w:right="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5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pStyle w:val="15"/>
              <w:spacing w:line="200" w:lineRule="exact"/>
              <w:ind w:righ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5"/>
              <w:spacing w:line="200" w:lineRule="exact"/>
              <w:ind w:left="6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9" w:type="dxa"/>
            <w:vAlign w:val="center"/>
          </w:tcPr>
          <w:p>
            <w:pPr>
              <w:pStyle w:val="15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left="9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9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18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4.5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>：</w:t>
      </w:r>
    </w:p>
    <w:p>
      <w:pPr>
        <w:spacing w:before="156" w:beforeLines="50" w:after="156" w:afterLines="50" w:line="400" w:lineRule="exact"/>
        <w:jc w:val="center"/>
        <w:rPr>
          <w:rFonts w:ascii="华文中宋" w:eastAsia="华文中宋"/>
          <w:b/>
          <w:sz w:val="32"/>
        </w:rPr>
      </w:pPr>
      <w:r>
        <w:rPr>
          <w:rFonts w:hint="eastAsia" w:ascii="华文中宋" w:eastAsia="华文中宋"/>
          <w:b/>
          <w:sz w:val="32"/>
        </w:rPr>
        <w:t>金融工程辅修专业课程设置与教学进程表</w:t>
      </w:r>
    </w:p>
    <w:tbl>
      <w:tblPr>
        <w:tblStyle w:val="9"/>
        <w:tblW w:w="1333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15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2831" w:type="dxa"/>
            <w:gridSpan w:val="6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Header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5"/>
              <w:spacing w:line="20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15"/>
              <w:spacing w:line="200" w:lineRule="exact"/>
              <w:ind w:left="110" w:right="10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left="1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vAlign w:val="center"/>
          </w:tcPr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辅</w:t>
            </w:r>
          </w:p>
          <w:p>
            <w:pPr>
              <w:pStyle w:val="15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ind w:left="79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</w:t>
            </w:r>
          </w:p>
          <w:p>
            <w:pPr>
              <w:pStyle w:val="15"/>
              <w:spacing w:line="20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2001687030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金融学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2001402030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会计学原理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2001600030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zh-CN" w:bidi="zh-CN"/>
              </w:rPr>
              <w:t>应用随机过程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2001601030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zh-CN" w:bidi="zh-CN"/>
              </w:rPr>
              <w:t>时间序列分析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2001602030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投资学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2001603030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金融衍生工具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2001604030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机器学习与量化投资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1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6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2001605035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金融工程学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56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.5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2001606030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行为金融学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pStyle w:val="15"/>
              <w:spacing w:line="200" w:lineRule="exact"/>
              <w:ind w:left="48" w:right="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27</w:t>
            </w:r>
            <w:r>
              <w:rPr>
                <w:b/>
                <w:sz w:val="18"/>
                <w:szCs w:val="18"/>
                <w:lang w:val="en-US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pStyle w:val="15"/>
              <w:spacing w:line="200" w:lineRule="exact"/>
              <w:ind w:righ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5"/>
              <w:spacing w:line="200" w:lineRule="exact"/>
              <w:ind w:left="6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9" w:type="dxa"/>
            <w:vAlign w:val="center"/>
          </w:tcPr>
          <w:p>
            <w:pPr>
              <w:pStyle w:val="15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left="9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9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.5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841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>
    <w:pPr>
      <w:pStyle w:val="6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epDMnLAQAAl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kpPLgP+4jtpA7S6gj1FQM55W5TbuVFuK5n7Oe/qf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3qQzJ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华文中宋" w:hAnsi="华文中宋" w:eastAsia="华文中宋"/>
        <w:b/>
        <w:sz w:val="28"/>
        <w:szCs w:val="28"/>
      </w:rPr>
      <w:t>湖南科技大学2010年版本科专业人才培养方案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yAlign="top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3E0236"/>
    <w:rsid w:val="00003D1D"/>
    <w:rsid w:val="000070CE"/>
    <w:rsid w:val="00012D39"/>
    <w:rsid w:val="0001537C"/>
    <w:rsid w:val="00017F90"/>
    <w:rsid w:val="0002529B"/>
    <w:rsid w:val="00025735"/>
    <w:rsid w:val="00030BC5"/>
    <w:rsid w:val="000327CF"/>
    <w:rsid w:val="000358D7"/>
    <w:rsid w:val="00041162"/>
    <w:rsid w:val="0004345C"/>
    <w:rsid w:val="000441AA"/>
    <w:rsid w:val="000441E3"/>
    <w:rsid w:val="0004719A"/>
    <w:rsid w:val="000475B7"/>
    <w:rsid w:val="00050F60"/>
    <w:rsid w:val="00052874"/>
    <w:rsid w:val="00054B93"/>
    <w:rsid w:val="00063586"/>
    <w:rsid w:val="00071805"/>
    <w:rsid w:val="00072D23"/>
    <w:rsid w:val="0007608D"/>
    <w:rsid w:val="00083455"/>
    <w:rsid w:val="000836F9"/>
    <w:rsid w:val="00083735"/>
    <w:rsid w:val="00091D3D"/>
    <w:rsid w:val="000A10A1"/>
    <w:rsid w:val="000A10D7"/>
    <w:rsid w:val="000A65E3"/>
    <w:rsid w:val="000C4695"/>
    <w:rsid w:val="000C4F91"/>
    <w:rsid w:val="000D643A"/>
    <w:rsid w:val="000D7229"/>
    <w:rsid w:val="000E04AB"/>
    <w:rsid w:val="000F09D0"/>
    <w:rsid w:val="000F4023"/>
    <w:rsid w:val="0010033A"/>
    <w:rsid w:val="00102791"/>
    <w:rsid w:val="00103702"/>
    <w:rsid w:val="001059E0"/>
    <w:rsid w:val="001123F9"/>
    <w:rsid w:val="00113CE5"/>
    <w:rsid w:val="0012743D"/>
    <w:rsid w:val="001350A5"/>
    <w:rsid w:val="001419DB"/>
    <w:rsid w:val="00146F70"/>
    <w:rsid w:val="0015295A"/>
    <w:rsid w:val="001603B8"/>
    <w:rsid w:val="00160789"/>
    <w:rsid w:val="0016228A"/>
    <w:rsid w:val="00165039"/>
    <w:rsid w:val="001656FE"/>
    <w:rsid w:val="001735A7"/>
    <w:rsid w:val="001762A8"/>
    <w:rsid w:val="00183753"/>
    <w:rsid w:val="0018692B"/>
    <w:rsid w:val="0019307C"/>
    <w:rsid w:val="001B1CA2"/>
    <w:rsid w:val="001B531F"/>
    <w:rsid w:val="001B53FF"/>
    <w:rsid w:val="001C5B1A"/>
    <w:rsid w:val="001C737A"/>
    <w:rsid w:val="001D2706"/>
    <w:rsid w:val="001D49FE"/>
    <w:rsid w:val="001D7CF8"/>
    <w:rsid w:val="001E27B0"/>
    <w:rsid w:val="001E431A"/>
    <w:rsid w:val="001E679F"/>
    <w:rsid w:val="001F354E"/>
    <w:rsid w:val="001F42A2"/>
    <w:rsid w:val="001F57EC"/>
    <w:rsid w:val="00200ED6"/>
    <w:rsid w:val="00202702"/>
    <w:rsid w:val="00202734"/>
    <w:rsid w:val="00212178"/>
    <w:rsid w:val="00215381"/>
    <w:rsid w:val="002260F3"/>
    <w:rsid w:val="0022645F"/>
    <w:rsid w:val="0023648B"/>
    <w:rsid w:val="00255312"/>
    <w:rsid w:val="00261C01"/>
    <w:rsid w:val="002630C1"/>
    <w:rsid w:val="00264247"/>
    <w:rsid w:val="00264E34"/>
    <w:rsid w:val="00265390"/>
    <w:rsid w:val="00271DB4"/>
    <w:rsid w:val="00272C2B"/>
    <w:rsid w:val="00274107"/>
    <w:rsid w:val="00277A52"/>
    <w:rsid w:val="00280633"/>
    <w:rsid w:val="00280CF2"/>
    <w:rsid w:val="00282FD0"/>
    <w:rsid w:val="002902FF"/>
    <w:rsid w:val="00297558"/>
    <w:rsid w:val="002A5ABD"/>
    <w:rsid w:val="002A6D00"/>
    <w:rsid w:val="002A7C8A"/>
    <w:rsid w:val="002B0D56"/>
    <w:rsid w:val="002B7352"/>
    <w:rsid w:val="002C5783"/>
    <w:rsid w:val="002D0744"/>
    <w:rsid w:val="002D34D2"/>
    <w:rsid w:val="002D5455"/>
    <w:rsid w:val="002E4B7D"/>
    <w:rsid w:val="002F0199"/>
    <w:rsid w:val="002F0FA3"/>
    <w:rsid w:val="002F3E50"/>
    <w:rsid w:val="00303656"/>
    <w:rsid w:val="00307619"/>
    <w:rsid w:val="0031257B"/>
    <w:rsid w:val="0031371F"/>
    <w:rsid w:val="00315BB2"/>
    <w:rsid w:val="003236FF"/>
    <w:rsid w:val="00325E12"/>
    <w:rsid w:val="00334F5D"/>
    <w:rsid w:val="00336462"/>
    <w:rsid w:val="003375DA"/>
    <w:rsid w:val="0034018C"/>
    <w:rsid w:val="0036099C"/>
    <w:rsid w:val="00384BE5"/>
    <w:rsid w:val="0038572C"/>
    <w:rsid w:val="00387D37"/>
    <w:rsid w:val="00390439"/>
    <w:rsid w:val="00392EA5"/>
    <w:rsid w:val="00394BF8"/>
    <w:rsid w:val="0039666E"/>
    <w:rsid w:val="00396CB7"/>
    <w:rsid w:val="003A01A9"/>
    <w:rsid w:val="003A7A6F"/>
    <w:rsid w:val="003B3631"/>
    <w:rsid w:val="003C0183"/>
    <w:rsid w:val="003C2BC4"/>
    <w:rsid w:val="003C5347"/>
    <w:rsid w:val="003D7B15"/>
    <w:rsid w:val="003E08BB"/>
    <w:rsid w:val="003E3A90"/>
    <w:rsid w:val="003E5687"/>
    <w:rsid w:val="003E69F6"/>
    <w:rsid w:val="003F3EF5"/>
    <w:rsid w:val="003F5F2C"/>
    <w:rsid w:val="003F6F35"/>
    <w:rsid w:val="00400497"/>
    <w:rsid w:val="00407641"/>
    <w:rsid w:val="004156C3"/>
    <w:rsid w:val="004157AC"/>
    <w:rsid w:val="00415846"/>
    <w:rsid w:val="004159C0"/>
    <w:rsid w:val="004171B7"/>
    <w:rsid w:val="00425324"/>
    <w:rsid w:val="00432F80"/>
    <w:rsid w:val="004461CD"/>
    <w:rsid w:val="004520AC"/>
    <w:rsid w:val="00456947"/>
    <w:rsid w:val="00461928"/>
    <w:rsid w:val="00465623"/>
    <w:rsid w:val="00467281"/>
    <w:rsid w:val="00474864"/>
    <w:rsid w:val="00487E96"/>
    <w:rsid w:val="004900FB"/>
    <w:rsid w:val="00490253"/>
    <w:rsid w:val="004930DA"/>
    <w:rsid w:val="004945B0"/>
    <w:rsid w:val="004950F1"/>
    <w:rsid w:val="0049556B"/>
    <w:rsid w:val="004A0072"/>
    <w:rsid w:val="004A2CEF"/>
    <w:rsid w:val="004B4B2A"/>
    <w:rsid w:val="004D2D6C"/>
    <w:rsid w:val="004F3FC0"/>
    <w:rsid w:val="00505264"/>
    <w:rsid w:val="005070B2"/>
    <w:rsid w:val="00507940"/>
    <w:rsid w:val="0051449E"/>
    <w:rsid w:val="005151A6"/>
    <w:rsid w:val="005315DD"/>
    <w:rsid w:val="00535E75"/>
    <w:rsid w:val="005364F9"/>
    <w:rsid w:val="00537734"/>
    <w:rsid w:val="0054180B"/>
    <w:rsid w:val="00541A67"/>
    <w:rsid w:val="00544969"/>
    <w:rsid w:val="00552062"/>
    <w:rsid w:val="00552CBC"/>
    <w:rsid w:val="0055544B"/>
    <w:rsid w:val="005579DC"/>
    <w:rsid w:val="00562262"/>
    <w:rsid w:val="00562D9A"/>
    <w:rsid w:val="00562E7A"/>
    <w:rsid w:val="00567CC7"/>
    <w:rsid w:val="0057029E"/>
    <w:rsid w:val="00581B0A"/>
    <w:rsid w:val="00582512"/>
    <w:rsid w:val="00582ED7"/>
    <w:rsid w:val="00583BF3"/>
    <w:rsid w:val="00597C88"/>
    <w:rsid w:val="005A07BE"/>
    <w:rsid w:val="005A7575"/>
    <w:rsid w:val="005B3CAD"/>
    <w:rsid w:val="005B4AF7"/>
    <w:rsid w:val="005B5030"/>
    <w:rsid w:val="005B5DA8"/>
    <w:rsid w:val="005C022B"/>
    <w:rsid w:val="005C2884"/>
    <w:rsid w:val="005C367F"/>
    <w:rsid w:val="005C75DF"/>
    <w:rsid w:val="005D6C98"/>
    <w:rsid w:val="005E16E3"/>
    <w:rsid w:val="005E401B"/>
    <w:rsid w:val="005F27B3"/>
    <w:rsid w:val="005F5ADA"/>
    <w:rsid w:val="005F61EF"/>
    <w:rsid w:val="00601949"/>
    <w:rsid w:val="00601DBF"/>
    <w:rsid w:val="006035E4"/>
    <w:rsid w:val="00605105"/>
    <w:rsid w:val="00611E3F"/>
    <w:rsid w:val="00621536"/>
    <w:rsid w:val="00624DD6"/>
    <w:rsid w:val="0063125C"/>
    <w:rsid w:val="00636204"/>
    <w:rsid w:val="0064009E"/>
    <w:rsid w:val="00645A90"/>
    <w:rsid w:val="00646DED"/>
    <w:rsid w:val="0064791B"/>
    <w:rsid w:val="006505B3"/>
    <w:rsid w:val="00661279"/>
    <w:rsid w:val="00663B92"/>
    <w:rsid w:val="006665FF"/>
    <w:rsid w:val="00666EF3"/>
    <w:rsid w:val="006672B7"/>
    <w:rsid w:val="006673CE"/>
    <w:rsid w:val="0067041A"/>
    <w:rsid w:val="0068123B"/>
    <w:rsid w:val="0068304E"/>
    <w:rsid w:val="00685471"/>
    <w:rsid w:val="00687288"/>
    <w:rsid w:val="0069187A"/>
    <w:rsid w:val="00695535"/>
    <w:rsid w:val="0069662A"/>
    <w:rsid w:val="006A1702"/>
    <w:rsid w:val="006A309C"/>
    <w:rsid w:val="006A7506"/>
    <w:rsid w:val="006B02A3"/>
    <w:rsid w:val="006B2D1D"/>
    <w:rsid w:val="006C14AA"/>
    <w:rsid w:val="006C2720"/>
    <w:rsid w:val="006D29CE"/>
    <w:rsid w:val="006D57B3"/>
    <w:rsid w:val="006E4C0E"/>
    <w:rsid w:val="006F5E15"/>
    <w:rsid w:val="00706320"/>
    <w:rsid w:val="00713A63"/>
    <w:rsid w:val="0071443B"/>
    <w:rsid w:val="0072117A"/>
    <w:rsid w:val="00722254"/>
    <w:rsid w:val="00722CCB"/>
    <w:rsid w:val="00724431"/>
    <w:rsid w:val="00724C86"/>
    <w:rsid w:val="00726546"/>
    <w:rsid w:val="00730DC9"/>
    <w:rsid w:val="007318D0"/>
    <w:rsid w:val="00737C1A"/>
    <w:rsid w:val="007406BE"/>
    <w:rsid w:val="00742142"/>
    <w:rsid w:val="007426B3"/>
    <w:rsid w:val="007608F4"/>
    <w:rsid w:val="00763774"/>
    <w:rsid w:val="00763AFE"/>
    <w:rsid w:val="007721A8"/>
    <w:rsid w:val="00773791"/>
    <w:rsid w:val="00774358"/>
    <w:rsid w:val="007811D6"/>
    <w:rsid w:val="007843F4"/>
    <w:rsid w:val="00791DD2"/>
    <w:rsid w:val="00794948"/>
    <w:rsid w:val="007B11CE"/>
    <w:rsid w:val="007B7E33"/>
    <w:rsid w:val="007C00FC"/>
    <w:rsid w:val="007C0BDB"/>
    <w:rsid w:val="007C1D73"/>
    <w:rsid w:val="007C4301"/>
    <w:rsid w:val="007C7FEE"/>
    <w:rsid w:val="007E2212"/>
    <w:rsid w:val="007E56D7"/>
    <w:rsid w:val="007E6CB2"/>
    <w:rsid w:val="007F29C5"/>
    <w:rsid w:val="007F4619"/>
    <w:rsid w:val="007F49DE"/>
    <w:rsid w:val="00804865"/>
    <w:rsid w:val="00812CE5"/>
    <w:rsid w:val="00814AD4"/>
    <w:rsid w:val="008177BD"/>
    <w:rsid w:val="0082052C"/>
    <w:rsid w:val="00827662"/>
    <w:rsid w:val="008304C2"/>
    <w:rsid w:val="008331FE"/>
    <w:rsid w:val="00840467"/>
    <w:rsid w:val="00840B9F"/>
    <w:rsid w:val="00842951"/>
    <w:rsid w:val="008632DA"/>
    <w:rsid w:val="008644F7"/>
    <w:rsid w:val="008730D8"/>
    <w:rsid w:val="008747D3"/>
    <w:rsid w:val="00875321"/>
    <w:rsid w:val="0087679E"/>
    <w:rsid w:val="008829C8"/>
    <w:rsid w:val="0088437F"/>
    <w:rsid w:val="008846E9"/>
    <w:rsid w:val="00884E9E"/>
    <w:rsid w:val="008A5DFA"/>
    <w:rsid w:val="008B1809"/>
    <w:rsid w:val="008B760D"/>
    <w:rsid w:val="008C2B11"/>
    <w:rsid w:val="008D2C67"/>
    <w:rsid w:val="008E21EA"/>
    <w:rsid w:val="008E55BB"/>
    <w:rsid w:val="008E5C51"/>
    <w:rsid w:val="008E6F52"/>
    <w:rsid w:val="008F1404"/>
    <w:rsid w:val="008F407B"/>
    <w:rsid w:val="008F4300"/>
    <w:rsid w:val="008F7B73"/>
    <w:rsid w:val="009106B7"/>
    <w:rsid w:val="009127E8"/>
    <w:rsid w:val="00913C75"/>
    <w:rsid w:val="00914FE8"/>
    <w:rsid w:val="00916C8E"/>
    <w:rsid w:val="009216CD"/>
    <w:rsid w:val="00924FC5"/>
    <w:rsid w:val="009255F2"/>
    <w:rsid w:val="009557AE"/>
    <w:rsid w:val="0095663E"/>
    <w:rsid w:val="00956668"/>
    <w:rsid w:val="0096007C"/>
    <w:rsid w:val="009605CD"/>
    <w:rsid w:val="0096092B"/>
    <w:rsid w:val="009636B4"/>
    <w:rsid w:val="00976C5A"/>
    <w:rsid w:val="009840D2"/>
    <w:rsid w:val="00985675"/>
    <w:rsid w:val="0098605D"/>
    <w:rsid w:val="00992843"/>
    <w:rsid w:val="00992896"/>
    <w:rsid w:val="00997117"/>
    <w:rsid w:val="009A040C"/>
    <w:rsid w:val="009A0AC2"/>
    <w:rsid w:val="009A3CF1"/>
    <w:rsid w:val="009A418D"/>
    <w:rsid w:val="009A535E"/>
    <w:rsid w:val="009B33A0"/>
    <w:rsid w:val="009B4397"/>
    <w:rsid w:val="009C11AD"/>
    <w:rsid w:val="009C56B6"/>
    <w:rsid w:val="009D03B8"/>
    <w:rsid w:val="009D3414"/>
    <w:rsid w:val="009E0E5D"/>
    <w:rsid w:val="009E4634"/>
    <w:rsid w:val="009E597D"/>
    <w:rsid w:val="009E6E85"/>
    <w:rsid w:val="009E7987"/>
    <w:rsid w:val="009F0F2E"/>
    <w:rsid w:val="009F2198"/>
    <w:rsid w:val="00A0134A"/>
    <w:rsid w:val="00A03B1C"/>
    <w:rsid w:val="00A05670"/>
    <w:rsid w:val="00A07A64"/>
    <w:rsid w:val="00A14640"/>
    <w:rsid w:val="00A14D3B"/>
    <w:rsid w:val="00A16A80"/>
    <w:rsid w:val="00A23365"/>
    <w:rsid w:val="00A24008"/>
    <w:rsid w:val="00A24195"/>
    <w:rsid w:val="00A419AE"/>
    <w:rsid w:val="00A42773"/>
    <w:rsid w:val="00A51E13"/>
    <w:rsid w:val="00A60D03"/>
    <w:rsid w:val="00A6711E"/>
    <w:rsid w:val="00A71A7D"/>
    <w:rsid w:val="00A74179"/>
    <w:rsid w:val="00A745F9"/>
    <w:rsid w:val="00A75250"/>
    <w:rsid w:val="00A825F2"/>
    <w:rsid w:val="00A965BA"/>
    <w:rsid w:val="00A97C2B"/>
    <w:rsid w:val="00AA67E8"/>
    <w:rsid w:val="00AA6980"/>
    <w:rsid w:val="00AB54F8"/>
    <w:rsid w:val="00AC01D6"/>
    <w:rsid w:val="00AC59BD"/>
    <w:rsid w:val="00AD304C"/>
    <w:rsid w:val="00AD31B0"/>
    <w:rsid w:val="00AD5961"/>
    <w:rsid w:val="00AD7054"/>
    <w:rsid w:val="00AD72BC"/>
    <w:rsid w:val="00AE4D8A"/>
    <w:rsid w:val="00AE65CD"/>
    <w:rsid w:val="00AE6835"/>
    <w:rsid w:val="00AF0ED8"/>
    <w:rsid w:val="00AF1629"/>
    <w:rsid w:val="00AF538F"/>
    <w:rsid w:val="00B029F8"/>
    <w:rsid w:val="00B04748"/>
    <w:rsid w:val="00B05C29"/>
    <w:rsid w:val="00B11E6B"/>
    <w:rsid w:val="00B20905"/>
    <w:rsid w:val="00B21093"/>
    <w:rsid w:val="00B21F04"/>
    <w:rsid w:val="00B230F8"/>
    <w:rsid w:val="00B243EC"/>
    <w:rsid w:val="00B301F8"/>
    <w:rsid w:val="00B35045"/>
    <w:rsid w:val="00B41869"/>
    <w:rsid w:val="00B44311"/>
    <w:rsid w:val="00B544E3"/>
    <w:rsid w:val="00B66790"/>
    <w:rsid w:val="00B67B27"/>
    <w:rsid w:val="00B7123D"/>
    <w:rsid w:val="00B737E6"/>
    <w:rsid w:val="00B758DE"/>
    <w:rsid w:val="00B76DB9"/>
    <w:rsid w:val="00B8294F"/>
    <w:rsid w:val="00B901C7"/>
    <w:rsid w:val="00B91419"/>
    <w:rsid w:val="00B91B5E"/>
    <w:rsid w:val="00B933B7"/>
    <w:rsid w:val="00B95106"/>
    <w:rsid w:val="00BA0DB2"/>
    <w:rsid w:val="00BA39CA"/>
    <w:rsid w:val="00BB13FA"/>
    <w:rsid w:val="00BB3FB7"/>
    <w:rsid w:val="00BC5BE2"/>
    <w:rsid w:val="00BD03C4"/>
    <w:rsid w:val="00BD10D3"/>
    <w:rsid w:val="00BD1F0D"/>
    <w:rsid w:val="00BD1F4B"/>
    <w:rsid w:val="00BD3F09"/>
    <w:rsid w:val="00BD45F5"/>
    <w:rsid w:val="00BD692D"/>
    <w:rsid w:val="00BE2913"/>
    <w:rsid w:val="00BE295A"/>
    <w:rsid w:val="00BE4A5B"/>
    <w:rsid w:val="00BE4B3D"/>
    <w:rsid w:val="00BF2A35"/>
    <w:rsid w:val="00BF40E3"/>
    <w:rsid w:val="00BF5044"/>
    <w:rsid w:val="00BF6851"/>
    <w:rsid w:val="00C01CFE"/>
    <w:rsid w:val="00C03DBD"/>
    <w:rsid w:val="00C05D59"/>
    <w:rsid w:val="00C06639"/>
    <w:rsid w:val="00C11891"/>
    <w:rsid w:val="00C17334"/>
    <w:rsid w:val="00C21AB9"/>
    <w:rsid w:val="00C21C8F"/>
    <w:rsid w:val="00C24C2A"/>
    <w:rsid w:val="00C27919"/>
    <w:rsid w:val="00C30782"/>
    <w:rsid w:val="00C33550"/>
    <w:rsid w:val="00C3536E"/>
    <w:rsid w:val="00C377E0"/>
    <w:rsid w:val="00C37EF6"/>
    <w:rsid w:val="00C50B7C"/>
    <w:rsid w:val="00C559A4"/>
    <w:rsid w:val="00C5660B"/>
    <w:rsid w:val="00C61434"/>
    <w:rsid w:val="00C64E63"/>
    <w:rsid w:val="00C651DD"/>
    <w:rsid w:val="00C70447"/>
    <w:rsid w:val="00C739BF"/>
    <w:rsid w:val="00C81DB4"/>
    <w:rsid w:val="00C92251"/>
    <w:rsid w:val="00C979A4"/>
    <w:rsid w:val="00CB3C93"/>
    <w:rsid w:val="00CB5B03"/>
    <w:rsid w:val="00CB5F13"/>
    <w:rsid w:val="00CB6A6B"/>
    <w:rsid w:val="00CB7FF6"/>
    <w:rsid w:val="00CC6A48"/>
    <w:rsid w:val="00CD2C4E"/>
    <w:rsid w:val="00CD6898"/>
    <w:rsid w:val="00CD781F"/>
    <w:rsid w:val="00CD7D7F"/>
    <w:rsid w:val="00CE2298"/>
    <w:rsid w:val="00CF2373"/>
    <w:rsid w:val="00CF319E"/>
    <w:rsid w:val="00D05628"/>
    <w:rsid w:val="00D05FDD"/>
    <w:rsid w:val="00D11816"/>
    <w:rsid w:val="00D25A69"/>
    <w:rsid w:val="00D2765B"/>
    <w:rsid w:val="00D33CA5"/>
    <w:rsid w:val="00D373F2"/>
    <w:rsid w:val="00D37945"/>
    <w:rsid w:val="00D407C7"/>
    <w:rsid w:val="00D408BC"/>
    <w:rsid w:val="00D522CF"/>
    <w:rsid w:val="00D536BF"/>
    <w:rsid w:val="00D57192"/>
    <w:rsid w:val="00D65B73"/>
    <w:rsid w:val="00D72002"/>
    <w:rsid w:val="00D76FEB"/>
    <w:rsid w:val="00D77962"/>
    <w:rsid w:val="00D809A9"/>
    <w:rsid w:val="00D82644"/>
    <w:rsid w:val="00D92BF6"/>
    <w:rsid w:val="00D96DC5"/>
    <w:rsid w:val="00D97D9A"/>
    <w:rsid w:val="00DA23E4"/>
    <w:rsid w:val="00DA29AC"/>
    <w:rsid w:val="00DA3648"/>
    <w:rsid w:val="00DA6FB1"/>
    <w:rsid w:val="00DB126D"/>
    <w:rsid w:val="00DB1F12"/>
    <w:rsid w:val="00DB4C20"/>
    <w:rsid w:val="00DB7367"/>
    <w:rsid w:val="00DC7B8F"/>
    <w:rsid w:val="00DC7FD7"/>
    <w:rsid w:val="00DD798C"/>
    <w:rsid w:val="00DD79BE"/>
    <w:rsid w:val="00DF3C1F"/>
    <w:rsid w:val="00DF5E56"/>
    <w:rsid w:val="00DF7EBF"/>
    <w:rsid w:val="00E00840"/>
    <w:rsid w:val="00E05D1B"/>
    <w:rsid w:val="00E100A1"/>
    <w:rsid w:val="00E10217"/>
    <w:rsid w:val="00E151F3"/>
    <w:rsid w:val="00E17C21"/>
    <w:rsid w:val="00E35AA7"/>
    <w:rsid w:val="00E405EC"/>
    <w:rsid w:val="00E4156F"/>
    <w:rsid w:val="00E5155B"/>
    <w:rsid w:val="00E525B3"/>
    <w:rsid w:val="00E526D2"/>
    <w:rsid w:val="00E540FF"/>
    <w:rsid w:val="00E637A6"/>
    <w:rsid w:val="00E63A19"/>
    <w:rsid w:val="00E66691"/>
    <w:rsid w:val="00E72644"/>
    <w:rsid w:val="00E7318B"/>
    <w:rsid w:val="00E740A5"/>
    <w:rsid w:val="00E747BA"/>
    <w:rsid w:val="00E76FC0"/>
    <w:rsid w:val="00E848F6"/>
    <w:rsid w:val="00E85E42"/>
    <w:rsid w:val="00E86662"/>
    <w:rsid w:val="00E91EEF"/>
    <w:rsid w:val="00E9409A"/>
    <w:rsid w:val="00E9527A"/>
    <w:rsid w:val="00EA10BC"/>
    <w:rsid w:val="00EA2D38"/>
    <w:rsid w:val="00EA52AB"/>
    <w:rsid w:val="00EB0E58"/>
    <w:rsid w:val="00EB2800"/>
    <w:rsid w:val="00EC7B6C"/>
    <w:rsid w:val="00ED08ED"/>
    <w:rsid w:val="00ED1CB4"/>
    <w:rsid w:val="00ED23D5"/>
    <w:rsid w:val="00ED5D1B"/>
    <w:rsid w:val="00EE0B9B"/>
    <w:rsid w:val="00EE16C7"/>
    <w:rsid w:val="00EF01E9"/>
    <w:rsid w:val="00F0227A"/>
    <w:rsid w:val="00F03EE3"/>
    <w:rsid w:val="00F100C6"/>
    <w:rsid w:val="00F10E89"/>
    <w:rsid w:val="00F11A1C"/>
    <w:rsid w:val="00F156A0"/>
    <w:rsid w:val="00F20423"/>
    <w:rsid w:val="00F21B0A"/>
    <w:rsid w:val="00F233CF"/>
    <w:rsid w:val="00F2341A"/>
    <w:rsid w:val="00F261AA"/>
    <w:rsid w:val="00F3079A"/>
    <w:rsid w:val="00F315A0"/>
    <w:rsid w:val="00F320A7"/>
    <w:rsid w:val="00F33FDA"/>
    <w:rsid w:val="00F36275"/>
    <w:rsid w:val="00F36DAB"/>
    <w:rsid w:val="00F36FE2"/>
    <w:rsid w:val="00F37EFD"/>
    <w:rsid w:val="00F44B83"/>
    <w:rsid w:val="00F46901"/>
    <w:rsid w:val="00F547E3"/>
    <w:rsid w:val="00F57015"/>
    <w:rsid w:val="00F57ED1"/>
    <w:rsid w:val="00F647B4"/>
    <w:rsid w:val="00F8340D"/>
    <w:rsid w:val="00F85645"/>
    <w:rsid w:val="00F87C56"/>
    <w:rsid w:val="00F9025F"/>
    <w:rsid w:val="00F930F3"/>
    <w:rsid w:val="00F93856"/>
    <w:rsid w:val="00F93D44"/>
    <w:rsid w:val="00FA3B82"/>
    <w:rsid w:val="00FA7B8E"/>
    <w:rsid w:val="00FB2FE2"/>
    <w:rsid w:val="00FC0BE6"/>
    <w:rsid w:val="00FD0189"/>
    <w:rsid w:val="00FD0F2A"/>
    <w:rsid w:val="00FD112A"/>
    <w:rsid w:val="00FD2141"/>
    <w:rsid w:val="00FD2296"/>
    <w:rsid w:val="00FD4B99"/>
    <w:rsid w:val="00FD5D49"/>
    <w:rsid w:val="00FE124F"/>
    <w:rsid w:val="00FE1617"/>
    <w:rsid w:val="00FE4B0B"/>
    <w:rsid w:val="00FF6842"/>
    <w:rsid w:val="00FF787F"/>
    <w:rsid w:val="00FF7AA6"/>
    <w:rsid w:val="00FF7FD7"/>
    <w:rsid w:val="023E5A18"/>
    <w:rsid w:val="031968BD"/>
    <w:rsid w:val="053A08C6"/>
    <w:rsid w:val="07D45C89"/>
    <w:rsid w:val="0AB348B7"/>
    <w:rsid w:val="0B4B2067"/>
    <w:rsid w:val="0C9F6FBA"/>
    <w:rsid w:val="106C31F7"/>
    <w:rsid w:val="11BA1148"/>
    <w:rsid w:val="13255DAC"/>
    <w:rsid w:val="17C64E9A"/>
    <w:rsid w:val="1974587D"/>
    <w:rsid w:val="1B922136"/>
    <w:rsid w:val="1EA902D1"/>
    <w:rsid w:val="1FE73066"/>
    <w:rsid w:val="21715814"/>
    <w:rsid w:val="223110FB"/>
    <w:rsid w:val="25122204"/>
    <w:rsid w:val="266D4A3C"/>
    <w:rsid w:val="2C264A1C"/>
    <w:rsid w:val="2E4F633E"/>
    <w:rsid w:val="30F14B33"/>
    <w:rsid w:val="331C7E31"/>
    <w:rsid w:val="33473AA3"/>
    <w:rsid w:val="341D5117"/>
    <w:rsid w:val="34F67E46"/>
    <w:rsid w:val="355A4098"/>
    <w:rsid w:val="366165A9"/>
    <w:rsid w:val="371A0750"/>
    <w:rsid w:val="381A65F2"/>
    <w:rsid w:val="39093DCD"/>
    <w:rsid w:val="3CB940C2"/>
    <w:rsid w:val="41092DC1"/>
    <w:rsid w:val="4361325A"/>
    <w:rsid w:val="48FD4F0A"/>
    <w:rsid w:val="4D55385F"/>
    <w:rsid w:val="4EB465CB"/>
    <w:rsid w:val="50C81B66"/>
    <w:rsid w:val="51294D7B"/>
    <w:rsid w:val="51960395"/>
    <w:rsid w:val="52F21383"/>
    <w:rsid w:val="546B2EE9"/>
    <w:rsid w:val="58382639"/>
    <w:rsid w:val="5843578B"/>
    <w:rsid w:val="58F73AEB"/>
    <w:rsid w:val="591A65EB"/>
    <w:rsid w:val="593E0236"/>
    <w:rsid w:val="5A895486"/>
    <w:rsid w:val="5A8F185A"/>
    <w:rsid w:val="5FCF7270"/>
    <w:rsid w:val="60911EB7"/>
    <w:rsid w:val="63517D23"/>
    <w:rsid w:val="64D4438F"/>
    <w:rsid w:val="65615FC3"/>
    <w:rsid w:val="67251E75"/>
    <w:rsid w:val="677237F4"/>
    <w:rsid w:val="68161A83"/>
    <w:rsid w:val="6AB24DEC"/>
    <w:rsid w:val="6C511BCB"/>
    <w:rsid w:val="6D12639A"/>
    <w:rsid w:val="715B5134"/>
    <w:rsid w:val="71820A40"/>
    <w:rsid w:val="7348225A"/>
    <w:rsid w:val="748C739A"/>
    <w:rsid w:val="778E26F5"/>
    <w:rsid w:val="793358D5"/>
    <w:rsid w:val="7AC347A8"/>
    <w:rsid w:val="7C767269"/>
    <w:rsid w:val="7C795B68"/>
    <w:rsid w:val="7DD25782"/>
    <w:rsid w:val="7EB94745"/>
    <w:rsid w:val="7F2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52"/>
      <w:ind w:left="428"/>
      <w:outlineLvl w:val="1"/>
    </w:pPr>
    <w:rPr>
      <w:rFonts w:ascii="华文中宋" w:hAnsi="华文中宋" w:eastAsia="华文中宋" w:cs="华文中宋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111"/>
    </w:pPr>
    <w:rPr>
      <w:rFonts w:ascii="宋体" w:hAnsi="宋体" w:cs="宋体"/>
      <w:szCs w:val="21"/>
      <w:lang w:val="zh-CN" w:bidi="zh-CN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uiPriority w:val="0"/>
    <w:rPr>
      <w:sz w:val="21"/>
      <w:szCs w:val="21"/>
    </w:rPr>
  </w:style>
  <w:style w:type="paragraph" w:customStyle="1" w:styleId="13">
    <w:name w:val="培养方案标题1"/>
    <w:basedOn w:val="1"/>
    <w:qFormat/>
    <w:uiPriority w:val="0"/>
    <w:pPr>
      <w:jc w:val="center"/>
    </w:pPr>
    <w:rPr>
      <w:rFonts w:ascii="黑体" w:eastAsia="黑体"/>
      <w:sz w:val="44"/>
      <w:szCs w:val="44"/>
    </w:rPr>
  </w:style>
  <w:style w:type="paragraph" w:styleId="14">
    <w:name w:val="List Paragraph"/>
    <w:basedOn w:val="1"/>
    <w:qFormat/>
    <w:uiPriority w:val="1"/>
    <w:pPr>
      <w:spacing w:before="2"/>
      <w:ind w:left="428" w:firstLine="420"/>
    </w:pPr>
    <w:rPr>
      <w:rFonts w:ascii="宋体" w:hAnsi="宋体" w:cs="宋体"/>
      <w:lang w:val="zh-CN" w:bidi="zh-CN"/>
    </w:rPr>
  </w:style>
  <w:style w:type="paragraph" w:customStyle="1" w:styleId="1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1906</Words>
  <Characters>10868</Characters>
  <Lines>90</Lines>
  <Paragraphs>25</Paragraphs>
  <TotalTime>0</TotalTime>
  <ScaleCrop>false</ScaleCrop>
  <LinksUpToDate>false</LinksUpToDate>
  <CharactersWithSpaces>12749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2020-10-09T14:15:00Z</dcterms:created>
  <dc:creator>蒋耀辉</dc:creator>
  <cp:lastModifiedBy>Administrator</cp:lastModifiedBy>
  <cp:lastPrinted>2020-10-09T13:22:00Z</cp:lastPrinted>
  <dcterms:modified xsi:type="dcterms:W3CDTF">2021-03-11T08:47:22Z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